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4.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274.42196531792pt; height:150pt; margin-left:0pt; margin-top:0pt; mso-position-horizontal:left; mso-position-vertical:top; mso-position-horizontal-relative:char; mso-position-vertical-relative:line;">
            <w10:wrap type="inline"/>
            <v:imagedata r:id="rId7" o:title=""/>
          </v:shape>
        </w:pict>
      </w:r>
    </w:p>
    <w:p>
      <w:pPr>
        <w:jc w:val="center"/>
        <w:spacing w:before="1000"/>
      </w:pPr>
      <w:r>
        <w:rPr>
          <w:sz w:val="56"/>
          <w:szCs w:val="56"/>
          <w:b w:val="1"/>
          <w:bCs w:val="1"/>
        </w:rPr>
        <w:t xml:space="preserve">Samoevalvacijski obrazec za leto 2024/2025</w:t>
      </w:r>
    </w:p>
    <w:p>
      <w:pPr>
        <w:jc w:val="center"/>
        <w:spacing w:before="500"/>
      </w:pPr>
      <w:r>
        <w:rPr>
          <w:sz w:val="36"/>
          <w:szCs w:val="36"/>
          <w:b w:val="1"/>
          <w:bCs w:val="1"/>
        </w:rPr>
        <w:t xml:space="preserve">Biomedicina (1001063)</w:t>
      </w:r>
    </w:p>
    <w:p>
      <w:pPr>
        <w:sectPr>
          <w:pgSz w:orient="portrait" w:w="11905.511811023622" w:h="16837.79527559055"/>
          <w:pgMar w:top="4000" w:right="1440" w:bottom="1440" w:left="1440" w:header="720" w:footer="720" w:gutter="0"/>
          <w:cols w:num="1" w:space="720"/>
        </w:sectPr>
      </w:pPr>
    </w:p>
    <w:p>
      <w:pPr>
        <w:sectPr>
          <w:footerReference w:type="default" r:id="rId13"/>
          <w:type w:val="continuous"/>
          <w:pgSz w:orient="portrait" w:w="11905.511811023622" w:h="16837.79527559055"/>
          <w:pgMar w:top="1440" w:right="1440" w:bottom="1440" w:left="1440" w:header="720" w:footer="720" w:gutter="0"/>
          <w:cols w:num="1" w:space="720"/>
          <w:pgNumType w:start="1"/>
        </w:sectPr>
      </w:pPr>
    </w:p>
    <w:p>
      <w:pPr>
        <w:spacing w:after="500"/>
      </w:pPr>
      <w:r>
        <w:rPr>
          <w:sz w:val="36"/>
          <w:szCs w:val="36"/>
          <w:b w:val="1"/>
          <w:bCs w:val="1"/>
        </w:rPr>
        <w:t xml:space="preserve">Kazalo vsebine</w:t>
      </w:r>
    </w:p>
    <w:p>
      <w:pPr>
        <w:tabs>
          <w:tab w:val="right" w:leader="dot" w:pos="9062"/>
        </w:tabs>
      </w:pPr>
      <w:r>
        <w:fldChar w:fldCharType="begin"/>
      </w:r>
      <w:r>
        <w:instrText xml:space="preserve">TOC \o 1-1 \h \z \u</w:instrText>
      </w:r>
      <w:r>
        <w:fldChar w:fldCharType="separate"/>
      </w:r>
      <w:hyperlink w:anchor="_Toc1" w:history="1">
        <w:r>
          <w:t>1. Splošni podatki ŠP</w:t>
        </w:r>
        <w:r>
          <w:tab/>
        </w:r>
        <w:r>
          <w:fldChar w:fldCharType="begin"/>
        </w:r>
        <w:r>
          <w:instrText xml:space="preserve">PAGEREF _Toc1 \h</w:instrText>
        </w:r>
        <w:r>
          <w:fldChar w:fldCharType="end"/>
        </w:r>
      </w:hyperlink>
    </w:p>
    <w:p>
      <w:pPr>
        <w:tabs>
          <w:tab w:val="right" w:leader="dot" w:pos="9062"/>
        </w:tabs>
      </w:pPr>
      <w:hyperlink w:anchor="_Toc12" w:history="1">
        <w:r>
          <w:t>2. Temeljni cilji ŠP in pričakovane kompetence diplomantov</w:t>
        </w:r>
        <w:r>
          <w:tab/>
        </w:r>
        <w:r>
          <w:fldChar w:fldCharType="begin"/>
        </w:r>
        <w:r>
          <w:instrText xml:space="preserve">PAGEREF _Toc12 \h</w:instrText>
        </w:r>
        <w:r>
          <w:fldChar w:fldCharType="end"/>
        </w:r>
      </w:hyperlink>
    </w:p>
    <w:p>
      <w:pPr>
        <w:tabs>
          <w:tab w:val="right" w:leader="dot" w:pos="9062"/>
        </w:tabs>
      </w:pPr>
      <w:hyperlink w:anchor="_Toc17" w:history="1">
        <w:r>
          <w:t>3. Ustreznost vsebine ŠP in njegovih učnih enot</w:t>
        </w:r>
        <w:r>
          <w:tab/>
        </w:r>
        <w:r>
          <w:fldChar w:fldCharType="begin"/>
        </w:r>
        <w:r>
          <w:instrText xml:space="preserve">PAGEREF _Toc17 \h</w:instrText>
        </w:r>
        <w:r>
          <w:fldChar w:fldCharType="end"/>
        </w:r>
      </w:hyperlink>
    </w:p>
    <w:p>
      <w:pPr>
        <w:tabs>
          <w:tab w:val="right" w:leader="dot" w:pos="9062"/>
        </w:tabs>
      </w:pPr>
      <w:hyperlink w:anchor="_Toc21" w:history="1">
        <w:r>
          <w:t>4. Prednosti in pomanjkljivosti ŠP glede na rezultate študentskih anket in primerljivih mehanizmov</w:t>
        </w:r>
        <w:r>
          <w:tab/>
        </w:r>
        <w:r>
          <w:fldChar w:fldCharType="begin"/>
        </w:r>
        <w:r>
          <w:instrText xml:space="preserve">PAGEREF _Toc21 \h</w:instrText>
        </w:r>
        <w:r>
          <w:fldChar w:fldCharType="end"/>
        </w:r>
      </w:hyperlink>
    </w:p>
    <w:p>
      <w:pPr>
        <w:tabs>
          <w:tab w:val="right" w:leader="dot" w:pos="9062"/>
        </w:tabs>
      </w:pPr>
      <w:hyperlink w:anchor="_Toc24" w:history="1">
        <w:r>
          <w:t>5.a USPEŠNOST IN UČINKOVITOST ŠTUDIJA: Spremljanje populacije študentov na ravni ŠP</w:t>
        </w:r>
        <w:r>
          <w:tab/>
        </w:r>
        <w:r>
          <w:fldChar w:fldCharType="begin"/>
        </w:r>
        <w:r>
          <w:instrText xml:space="preserve">PAGEREF _Toc24 \h</w:instrText>
        </w:r>
        <w:r>
          <w:fldChar w:fldCharType="end"/>
        </w:r>
      </w:hyperlink>
    </w:p>
    <w:p>
      <w:pPr>
        <w:tabs>
          <w:tab w:val="right" w:leader="dot" w:pos="9062"/>
        </w:tabs>
      </w:pPr>
      <w:hyperlink w:anchor="_Toc30" w:history="1">
        <w:r>
          <w:t>5.b USPEŠNOST IN UČINKOVITOST ŠTUDIJA: Spremljanje in zagotavljanje kakovosti pedagoškega procesa</w:t>
        </w:r>
        <w:r>
          <w:tab/>
        </w:r>
        <w:r>
          <w:fldChar w:fldCharType="begin"/>
        </w:r>
        <w:r>
          <w:instrText xml:space="preserve">PAGEREF _Toc30 \h</w:instrText>
        </w:r>
        <w:r>
          <w:fldChar w:fldCharType="end"/>
        </w:r>
      </w:hyperlink>
    </w:p>
    <w:p>
      <w:pPr>
        <w:tabs>
          <w:tab w:val="right" w:leader="dot" w:pos="9062"/>
        </w:tabs>
      </w:pPr>
      <w:hyperlink w:anchor="_Toc38" w:history="1">
        <w:r>
          <w:t>5.c USPEŠNOST IN UČINKOVITOST ŠTUDIJA: Podpora za internacionalizacijo študija</w:t>
        </w:r>
        <w:r>
          <w:tab/>
        </w:r>
        <w:r>
          <w:fldChar w:fldCharType="begin"/>
        </w:r>
        <w:r>
          <w:instrText xml:space="preserve">PAGEREF _Toc38 \h</w:instrText>
        </w:r>
        <w:r>
          <w:fldChar w:fldCharType="end"/>
        </w:r>
      </w:hyperlink>
    </w:p>
    <w:p>
      <w:pPr>
        <w:tabs>
          <w:tab w:val="right" w:leader="dot" w:pos="9062"/>
        </w:tabs>
      </w:pPr>
      <w:hyperlink w:anchor="_Toc44" w:history="1">
        <w:r>
          <w:t>5.č USPEŠNOST IN UČINKOVITOST ŠTUDIJA: Zagotavljanje podpore, spodbujanje študentov pri študiju</w:t>
        </w:r>
        <w:r>
          <w:tab/>
        </w:r>
        <w:r>
          <w:fldChar w:fldCharType="begin"/>
        </w:r>
        <w:r>
          <w:instrText xml:space="preserve">PAGEREF _Toc44 \h</w:instrText>
        </w:r>
        <w:r>
          <w:fldChar w:fldCharType="end"/>
        </w:r>
      </w:hyperlink>
    </w:p>
    <w:p>
      <w:pPr>
        <w:tabs>
          <w:tab w:val="right" w:leader="dot" w:pos="9062"/>
        </w:tabs>
      </w:pPr>
      <w:hyperlink w:anchor="_Toc51" w:history="1">
        <w:r>
          <w:t>5.d USPEŠNOST IN UČINKOVITOST ŠTUDIJA: Praktično usposabljanje študentov </w:t>
        </w:r>
        <w:r>
          <w:tab/>
        </w:r>
        <w:r>
          <w:fldChar w:fldCharType="begin"/>
        </w:r>
        <w:r>
          <w:instrText xml:space="preserve">PAGEREF _Toc51 \h</w:instrText>
        </w:r>
        <w:r>
          <w:fldChar w:fldCharType="end"/>
        </w:r>
      </w:hyperlink>
    </w:p>
    <w:p>
      <w:pPr>
        <w:tabs>
          <w:tab w:val="right" w:leader="dot" w:pos="9062"/>
        </w:tabs>
      </w:pPr>
      <w:hyperlink w:anchor="_Toc52" w:history="1">
        <w:r>
          <w:t>5.e USPEŠNOST IN UČINKOVITOST ŠTUDIJA: Spodbujanje strokovnega razvoja zaposlenih in sodelujočih</w:t>
        </w:r>
        <w:r>
          <w:tab/>
        </w:r>
        <w:r>
          <w:fldChar w:fldCharType="begin"/>
        </w:r>
        <w:r>
          <w:instrText xml:space="preserve">PAGEREF _Toc52 \h</w:instrText>
        </w:r>
        <w:r>
          <w:fldChar w:fldCharType="end"/>
        </w:r>
      </w:hyperlink>
    </w:p>
    <w:p>
      <w:pPr>
        <w:tabs>
          <w:tab w:val="right" w:leader="dot" w:pos="9062"/>
        </w:tabs>
      </w:pPr>
      <w:hyperlink w:anchor="_Toc61" w:history="1">
        <w:r>
          <w:t>6. Spremljanje in razvoj ŠP ter priprava samoevalvacijskega poročila </w:t>
        </w:r>
        <w:r>
          <w:tab/>
        </w:r>
        <w:r>
          <w:fldChar w:fldCharType="begin"/>
        </w:r>
        <w:r>
          <w:instrText xml:space="preserve">PAGEREF _Toc61 \h</w:instrText>
        </w:r>
        <w:r>
          <w:fldChar w:fldCharType="end"/>
        </w:r>
      </w:hyperlink>
    </w:p>
    <w:p>
      <w:pPr>
        <w:tabs>
          <w:tab w:val="right" w:leader="dot" w:pos="9062"/>
        </w:tabs>
      </w:pPr>
      <w:hyperlink w:anchor="_Toc64" w:history="1">
        <w:r>
          <w:t>Pregled realizacije ukrepov in predlogi izboljšav</w:t>
        </w:r>
        <w:r>
          <w:tab/>
        </w:r>
        <w:r>
          <w:fldChar w:fldCharType="begin"/>
        </w:r>
        <w:r>
          <w:instrText xml:space="preserve">PAGEREF _Toc64 \h</w:instrText>
        </w:r>
        <w:r>
          <w:fldChar w:fldCharType="end"/>
        </w:r>
      </w:hyperlink>
    </w:p>
    <w:p>
      <w:r>
        <w:fldChar w:fldCharType="end"/>
      </w:r>
    </w:p>
    <w:p>
      <w:pPr>
        <w:sectPr>
          <w:pgSz w:orient="portrait" w:w="11905.511811023622" w:h="16837.79527559055"/>
          <w:pgMar w:top="1440" w:right="1440" w:bottom="1440" w:left="1440" w:header="720" w:footer="720" w:gutter="0"/>
          <w:cols w:num="1" w:space="720"/>
        </w:sectPr>
      </w:pPr>
    </w:p>
    <w:p>
      <w:pPr>
        <w:pStyle w:val="Heading1"/>
      </w:pPr>
      <w:bookmarkStart w:id="1" w:name="_Toc1"/>
      <w:r>
        <w:t>1. Splošni podatki ŠP</w:t>
      </w:r>
      <w:bookmarkEnd w:id="1"/>
    </w:p>
    <w:p>
      <w:pPr>
        <w:sectPr>
          <w:pgSz w:orient="portrait" w:w="11905.511811023622" w:h="16837.79527559055"/>
          <w:pgMar w:top="1440" w:right="1440" w:bottom="1440" w:left="1440" w:header="720" w:footer="720" w:gutter="0"/>
          <w:cols w:num="1" w:space="720"/>
        </w:sectPr>
      </w:pPr>
    </w:p>
    <w:p/>
    <w:p>
      <w:pPr>
        <w:pStyle w:val="Heading2"/>
      </w:pPr>
      <w:bookmarkStart w:id="2" w:name="_Toc2"/>
      <w:r>
        <w:t>Podatki o skrbniku/ci študijskega programa</w:t>
      </w:r>
      <w:bookmarkEnd w:id="2"/>
    </w:p>
    <w:p>
      <w:pPr/>
      <w:r>
        <w:rPr/>
        <w:t xml:space="preserve">Zapišite ime, priimek in habilitacijski naziv skrbnika/ce ŠP.</w:t>
      </w:r>
    </w:p>
    <w:tbl>
      <w:tblGrid>
        <w:gridCol w:w="10000" w:type="dxa"/>
      </w:tblGrid>
      <w:tblPr>
        <w:tblStyle w:val="box"/>
      </w:tblPr>
      <w:tr>
        <w:trPr>
          <w:trHeight w:val="10" w:hRule="atLeast"/>
        </w:trPr>
        <w:tc>
          <w:tcPr>
            <w:tcW w:w="10000" w:type="dxa"/>
          </w:tcPr>
          <w:p>
            <w:pPr/>
            <w:r>
              <w:rPr/>
              <w:t xml:space="preserve">prof.dr. Borut Božič</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 w:name="_Toc3"/>
      <w:r>
        <w:t>Ime študijskega programa</w:t>
      </w:r>
      <w:bookmarkEnd w:id="3"/>
    </w:p>
    <w:tbl>
      <w:tblGrid>
        <w:gridCol w:w="10000" w:type="dxa"/>
      </w:tblGrid>
      <w:tblPr>
        <w:tblStyle w:val="box"/>
      </w:tblPr>
      <w:tr>
        <w:trPr>
          <w:trHeight w:val="10" w:hRule="atLeast"/>
        </w:trPr>
        <w:tc>
          <w:tcPr>
            <w:tcW w:w="10000" w:type="dxa"/>
          </w:tcPr>
          <w:p>
            <w:pPr/>
            <w:r>
              <w:rPr/>
              <w:t xml:space="preserve">Biomedicina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 w:name="_Toc4"/>
      <w:r>
        <w:t>Stopnja študijskega programa</w:t>
      </w:r>
      <w:bookmarkEnd w:id="4"/>
    </w:p>
    <w:tbl>
      <w:tblGrid>
        <w:gridCol w:w="10000" w:type="dxa"/>
      </w:tblGrid>
      <w:tblPr>
        <w:tblStyle w:val="box"/>
      </w:tblPr>
      <w:tr>
        <w:trPr>
          <w:trHeight w:val="10" w:hRule="atLeast"/>
        </w:trPr>
        <w:tc>
          <w:tcPr>
            <w:tcW w:w="10000" w:type="dxa"/>
          </w:tcPr>
          <w:p>
            <w:pPr/>
            <w:r>
              <w:rPr/>
              <w:t xml:space="preserve">tretja stopnja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 w:name="_Toc5"/>
      <w:r>
        <w:t>Vrsta študijskega programa</w:t>
      </w:r>
      <w:bookmarkEnd w:id="5"/>
    </w:p>
    <w:tbl>
      <w:tblGrid>
        <w:gridCol w:w="10000" w:type="dxa"/>
      </w:tblGrid>
      <w:tblPr>
        <w:tblStyle w:val="box"/>
      </w:tblPr>
      <w:tr>
        <w:trPr>
          <w:trHeight w:val="10" w:hRule="atLeast"/>
        </w:trPr>
        <w:tc>
          <w:tcPr>
            <w:tcW w:w="10000" w:type="dxa"/>
          </w:tcPr>
          <w:p>
            <w:pPr/>
            <w:r>
              <w:rPr/>
              <w:t xml:space="preserve">doktorski</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6" w:name="_Toc6"/>
      <w:r>
        <w:t>Način izvajanja študija</w:t>
      </w:r>
      <w:bookmarkEnd w:id="6"/>
    </w:p>
    <w:tbl>
      <w:tblGrid>
        <w:gridCol w:w="10000" w:type="dxa"/>
      </w:tblGrid>
      <w:tblPr>
        <w:tblStyle w:val="box"/>
      </w:tblPr>
      <w:tr>
        <w:trPr>
          <w:trHeight w:val="10" w:hRule="atLeast"/>
        </w:trPr>
        <w:tc>
          <w:tcPr>
            <w:tcW w:w="10000" w:type="dxa"/>
          </w:tcPr>
          <w:p>
            <w:pPr/>
            <w:r>
              <w:rPr/>
              <w:t xml:space="preserve">izredni</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7" w:name="_Toc7"/>
      <w:r>
        <w:t>Interdisciplinarni program</w:t>
      </w:r>
      <w:bookmarkEnd w:id="7"/>
    </w:p>
    <w:tbl>
      <w:tblGrid>
        <w:gridCol w:w="10000" w:type="dxa"/>
      </w:tblGrid>
      <w:tblPr>
        <w:tblStyle w:val="box"/>
      </w:tblPr>
      <w:tr>
        <w:trPr>
          <w:trHeight w:val="10" w:hRule="atLeast"/>
        </w:trPr>
        <w:tc>
          <w:tcPr>
            <w:tcW w:w="10000" w:type="dxa"/>
          </w:tcPr>
          <w:p>
            <w:pPr/>
            <w:r>
              <w:rPr/>
              <w:t xml:space="preserve">Da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8" w:name="_Toc8"/>
      <w:r>
        <w:t>Klasius-P-16</w:t>
      </w:r>
      <w:bookmarkEnd w:id="8"/>
    </w:p>
    <w:tbl>
      <w:tblGrid>
        <w:gridCol w:w="10000" w:type="dxa"/>
      </w:tblGrid>
      <w:tblPr>
        <w:tblStyle w:val="box"/>
      </w:tblPr>
      <w:tr>
        <w:trPr>
          <w:trHeight w:val="10" w:hRule="atLeast"/>
        </w:trPr>
        <w:tc>
          <w:tcPr>
            <w:tcW w:w="10000" w:type="dxa"/>
          </w:tcPr>
          <w:p>
            <w:pPr/>
            <w:r>
              <w:rPr/>
              <w:t xml:space="preserve">Interdisciplinarne izobraževalne aktivnosti/izidi, pretežno naravoslovje, matematika in statistika (0588); Interdisciplinarne izobraževalne aktivnosti/izidi, pretežno kmetijstvo, gozdarstvo, ribištvo in veterinarstvo (0888); Interdisciplinarne izobraževalne aktivosti/zidi, pretežno zdravstvo in socialna varnost (0988)</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9" w:name="_Toc9"/>
      <w:r>
        <w:t>Klasius-SRV</w:t>
      </w:r>
      <w:bookmarkEnd w:id="9"/>
    </w:p>
    <w:tbl>
      <w:tblGrid>
        <w:gridCol w:w="10000" w:type="dxa"/>
      </w:tblGrid>
      <w:tblPr>
        <w:tblStyle w:val="box"/>
      </w:tblPr>
      <w:tr>
        <w:trPr>
          <w:trHeight w:val="10" w:hRule="atLeast"/>
        </w:trPr>
        <w:tc>
          <w:tcPr>
            <w:tcW w:w="10000" w:type="dxa"/>
          </w:tcPr>
          <w:p>
            <w:pPr/>
            <w:r>
              <w:rPr/>
              <w:t xml:space="preserve">18202 - Doktorsko izobraževanje(tretja bolonjska stopnja)/doktorat znanosti (tretja bolonjska stopnja)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0" w:name="_Toc10"/>
      <w:r>
        <w:t>Ime članice/članic, ki sodelujejo pri izvedbi študijskega programa</w:t>
      </w:r>
      <w:bookmarkEnd w:id="10"/>
    </w:p>
    <w:tbl>
      <w:tblGrid>
        <w:gridCol w:w="10000" w:type="dxa"/>
      </w:tblGrid>
      <w:tblPr>
        <w:tblStyle w:val="box"/>
      </w:tblPr>
      <w:tr>
        <w:trPr>
          <w:trHeight w:val="10" w:hRule="atLeast"/>
        </w:trPr>
        <w:tc>
          <w:tcPr>
            <w:tcW w:w="10000" w:type="dxa"/>
          </w:tcPr>
          <w:p>
            <w:pPr/>
            <w:r>
              <w:rPr/>
              <w:t xml:space="preserve">Biotehniška fakulteta, Fakulteta za farmacijo, Fakulteta za kemijo in kemijsko tehnologijo, Medicinska fakulteta, Veterinarska fakulteta, Institut "Jožef Stefan", Kemijski inštitut, Nacionalni inštitut za biologijo</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1" w:name="_Toc11"/>
      <w:r>
        <w:t>Študijsko leto</w:t>
      </w:r>
      <w:bookmarkEnd w:id="11"/>
    </w:p>
    <w:tbl>
      <w:tblGrid>
        <w:gridCol w:w="10000" w:type="dxa"/>
      </w:tblGrid>
      <w:tblPr>
        <w:tblStyle w:val="box"/>
      </w:tblPr>
      <w:tr>
        <w:trPr>
          <w:trHeight w:val="10" w:hRule="atLeast"/>
        </w:trPr>
        <w:tc>
          <w:tcPr>
            <w:tcW w:w="10000" w:type="dxa"/>
          </w:tcPr>
          <w:p>
            <w:pPr/>
            <w:r>
              <w:rPr/>
              <w:t xml:space="preserve">2024/2025</w:t>
            </w:r>
          </w:p>
        </w:tc>
      </w:tr>
    </w:tbl>
    <w:p>
      <w:pPr>
        <w:sectPr>
          <w:type w:val="continuous"/>
          <w:pgSz w:orient="portrait" w:w="11905.511811023622" w:h="16837.79527559055"/>
          <w:pgMar w:top="1440" w:right="1440" w:bottom="1440" w:left="1440" w:header="720" w:footer="720" w:gutter="0"/>
          <w:cols w:num="1" w:space="720"/>
        </w:sectPr>
      </w:pPr>
    </w:p>
    <w:p>
      <w:pPr>
        <w:pStyle w:val="Heading1"/>
      </w:pPr>
      <w:bookmarkStart w:id="12" w:name="_Toc12"/>
      <w:r>
        <w:t>2. Temeljni cilji ŠP in pričakovane kompetence diplomantov</w:t>
      </w:r>
      <w:bookmarkEnd w:id="12"/>
    </w:p>
    <w:p>
      <w:pPr>
        <w:sectPr>
          <w:pgSz w:orient="portrait" w:w="11905.511811023622" w:h="16837.79527559055"/>
          <w:pgMar w:top="1440" w:right="1440" w:bottom="1440" w:left="1440" w:header="720" w:footer="720" w:gutter="0"/>
          <w:cols w:num="1" w:space="720"/>
        </w:sectPr>
      </w:pPr>
    </w:p>
    <w:p/>
    <w:p>
      <w:pPr/>
      <w:r>
        <w:rPr>
          <w:sz w:val="24"/>
          <w:szCs w:val="24"/>
          <w:b w:val="1"/>
          <w:bCs w:val="1"/>
        </w:rPr>
        <w:t xml:space="preserve">Temeljni cilji</w:t>
      </w:r>
    </w:p>
    <w:p>
      <w:pPr/>
      <w:r>
        <w:rPr/>
        <w:t xml:space="preserve">Temeljni cilj interdisciplinarnega doktorskega študijskega programa Biomedicina je izobraževanje visoko usposobljenih strokovnjakov za posamezna znanstvena področja, ki sestavljajo biomedicino. Program je interdisciplinaren in namenjen poglobitvi znanj s področja biokemije in molekularne biologije, farmacije, genetike, klinične biokemije in laboratorijske biomedicine, klinične in temeljne medicine, javnega zdravja, medicinske mikrobiologije, nevroznanosti, toksikologije in veterinarske medicine. Cilj programa je usposobiti doktoranda za znanstveno razmišljanje in reševanje znanstvenih problemov ter sodelovanje pri reševanju zahtevnih delovnih problemov z interdisciplinarnim pristopom.</w:t>
      </w:r>
      <w:br/>
      <w:r>
        <w:rPr/>
        <w:t xml:space="preserve">Cilji programa so, da bi doktorski študenti na vseh znanstvenih področjih programa pridobili poglobljeno razumevanje z njihovega širšega in ožjega področja raziskovanja, razvili sposobnost neodvisnega in kreativnega razmišljanja in bili sposobni samostojno ustvarjati novo znanje.</w:t>
      </w:r>
    </w:p>
    <w:p>
      <w:pPr>
        <w:sectPr>
          <w:type w:val="continuous"/>
          <w:pgSz w:orient="portrait" w:w="11905.511811023622" w:h="16837.79527559055"/>
          <w:pgMar w:top="1440" w:right="1440" w:bottom="1440" w:left="1440" w:header="720" w:footer="720" w:gutter="0"/>
          <w:cols w:num="1" w:space="720"/>
        </w:sectPr>
      </w:pPr>
    </w:p>
    <w:p/>
    <w:p>
      <w:pPr/>
      <w:r>
        <w:rPr>
          <w:sz w:val="24"/>
          <w:szCs w:val="24"/>
          <w:b w:val="1"/>
          <w:bCs w:val="1"/>
        </w:rPr>
        <w:t xml:space="preserve">Splošne kompetence diplomanta</w:t>
      </w:r>
    </w:p>
    <w:p>
      <w:pPr/>
      <w:r>
        <w:rPr/>
        <w:t xml:space="preserve">Po končanem študiju je doktorand sposoben za kreativno in samostojno znanstveno raziskovalno delo in reševanje problemov bodočih delodajalcev. Sposoben je razumevanja in kritične presoje pri razreševanju zahtevnih in kompleksnih znanstveno-raziskovalnih vprašanj. Usposobljen je za kreativno ter samostojno obravnavo znanstveno-raziskovalnega problema, kritično presojo raziskovalnih rezultatov, razvoja novih raziskovalnih metod in prenosa novih tehnologij in znanja v prakso.</w:t>
      </w:r>
    </w:p>
    <w:p>
      <w:pPr>
        <w:sectPr>
          <w:type w:val="continuous"/>
          <w:pgSz w:orient="portrait" w:w="11905.511811023622" w:h="16837.79527559055"/>
          <w:pgMar w:top="1440" w:right="1440" w:bottom="1440" w:left="1440" w:header="720" w:footer="720" w:gutter="0"/>
          <w:cols w:num="1" w:space="720"/>
        </w:sectPr>
      </w:pPr>
    </w:p>
    <w:p/>
    <w:p>
      <w:pPr/>
      <w:r>
        <w:rPr>
          <w:sz w:val="24"/>
          <w:szCs w:val="24"/>
          <w:b w:val="1"/>
          <w:bCs w:val="1"/>
        </w:rPr>
        <w:t xml:space="preserve">Predmetno specifične kompetence</w:t>
      </w:r>
    </w:p>
    <w:p>
      <w:pPr/>
      <w:r>
        <w:rPr/>
        <w:t xml:space="preserve">Doktorand poglobi temeljna znanja na posameznih področjih, pridobi sposobnosti za reševanje zahtevnih delovnih problemov ter pridobi znanje na področju znanstvenih metod in postopkov. Pridobi sposobnost razumevanja in kritične presoje pri razreševanju zahtevnih in kompleksnih znanstveno-raziskovalnih vprašanj.</w:t>
      </w:r>
      <w:br/>
      <w:r>
        <w:rPr/>
        <w:t xml:space="preserve">Dodatne predmetno specifične kompetence so navedene za vsak predmet posebej v okviru učnih načrtov.</w:t>
      </w:r>
    </w:p>
    <w:p>
      <w:pPr>
        <w:sectPr>
          <w:type w:val="continuous"/>
          <w:pgSz w:orient="portrait" w:w="11905.511811023622" w:h="16837.79527559055"/>
          <w:pgMar w:top="1440" w:right="1440" w:bottom="1440" w:left="1440" w:header="720" w:footer="720" w:gutter="0"/>
          <w:cols w:num="1" w:space="720"/>
        </w:sectPr>
      </w:pPr>
    </w:p>
    <w:p/>
    <w:p>
      <w:pPr>
        <w:pStyle w:val="Heading2"/>
      </w:pPr>
      <w:bookmarkStart w:id="13" w:name="_Toc13"/>
      <w:r>
        <w:t>Temeljni cilji študijskega programa in pričakovane kompetence diplomantov - Spremembe </w:t>
      </w:r>
      <w:bookmarkEnd w:id="13"/>
    </w:p>
    <w:p>
      <w:pPr/>
      <w:r>
        <w:rPr/>
        <w:t xml:space="preserve">Navedite vzroke za spremembe v opredelitvi temeljnih ciljev ŠP in pričakovanih kompetenc diplomantov. Vpišite le v primeru, da je do sprememb prišlo v zadnjem letu (npr. podaljšanje akreditacije ŠP, prenova ŠP).</w:t>
      </w:r>
    </w:p>
    <w:tbl>
      <w:tblGrid>
        <w:gridCol w:w="10000" w:type="dxa"/>
      </w:tblGrid>
      <w:tblPr>
        <w:tblStyle w:val="box"/>
      </w:tblPr>
      <w:tr>
        <w:trPr>
          <w:trHeight w:val="800" w:hRule="atLeast"/>
        </w:trPr>
        <w:tc>
          <w:tcPr>
            <w:tcW w:w="10000" w:type="dxa"/>
          </w:tcPr>
          <w:p>
            <w:pPr/>
            <w:r>
              <w:rPr/>
              <w:t xml:space="preserve">V študijskem letu 2023/2024 je bila po več krogih usklajevanj potrjena sprememba obvezne sestavine programa, ki se nanaša na poenotenje pogojev za dokončanje študija, zlasti glede članka, ki ga morajo doktorandi objaviti. To je bila tudi ena od ugotovljenih neskladnosti v postopku vzorčne evalvacije skupine strokovnjakov NAKVIS, kar smo takoj naslovili. Glavno težavo ob usklajevanju je predstavljala odločitev v zvezi s kriteriji za uvrščenost revij bodisi v prvi dve bodisi v prve tri četrtine. Ker se je izkazalo, da predstavljata prvi dve četrtini realne ovire za objavljanje doktorandov na nekaterih področjih (Medicina – klinična usmeritev in deloma Javno zdravje), je bil sprejet blažji sklep z zavezo po spodbujanju objav v boljših revijah in spremljanju napredka v naslednjih letih. </w:t>
            </w:r>
            <w:br/>
            <w:r>
              <w:rPr/>
              <w:t xml:space="preserve">Majhno število revij na določenih podpodročjih biomedicine, kjer je v prvi četrtini samo ena ali dve reviji, onemogoča nekaterim doktorandom objavljanje v prvih dveh kvartilih, saj so tiste revije "rezervirane" za mednarodne klinične študije, podprte z industrijo. V teh primerih doktorand ne more biti prvi avtor, tudi če pri članku sodeluje. Zato je bilo v tej fazi sprejemljivo zahtevati objave v prvih treh četrtinah, čeprav ima večina objav doktorandov visok faktor vpliva ali pa so objavljene v 1. ali 2. četrtini. K temu bomo doktorande programa Biomedicina še naprej spodbujali. V okviru poenotenja pogojev za dokončanje študija smo z dogovorom določili minimalni standard kakovosti, ki je bil sprejemljiv za vsa znanstvena področja. </w:t>
            </w:r>
            <w:br/>
            <w:r>
              <w:rPr/>
              <w:t xml:space="preserve">Novi pogoji za objavo članka so, da doktorand objavi najmanj en (1) izvirni znanstveni članek iz prvih treh četrtin znotraj posamezne kategorije znanstvenih revij s faktorjem vpliva (1Q-3Q). Merilo uvrstitve znanstvene revije v posamezno četrtino naj se izkazuje prek baze JCR in z datumom pošiljanja članka v objavo, kot presečnim datumom. Doktorand mora biti prvi avtor članka. Članek mora biti s področja dokazovanja hipotez oziroma potrjevanja raziskovalnih vprašanj ali ciljev doktorske disertacije. Dokazilo o objavljenem oz. v objavo sprejetem izvirnem znanstvenem članku mora doktorand predložiti najkasneje ob oddaji doktorske disertacije v oceno.</w:t>
            </w:r>
            <w:br/>
            <w:r>
              <w:rPr/>
              <w:t xml:space="preserve">Sprememba je začela veljati za generacijo študentov, ki se je v študijski program vpisala v študijskem letu 2025/2026.</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4" w:name="_Toc14"/>
      <w:r>
        <w:t>Temeljni cilji študijskega programa in pričakovane kompetence diplomantov - Spremljanje doseganja ciljev in kompetenc</w:t>
      </w:r>
      <w:bookmarkEnd w:id="14"/>
    </w:p>
    <w:p>
      <w:pPr/>
      <w:r>
        <w:rPr/>
        <w:t xml:space="preserve">Opišite, kako spremljate doseganje ciljev in kompetenc na ravni ŠP.</w:t>
      </w:r>
    </w:p>
    <w:tbl>
      <w:tblGrid>
        <w:gridCol w:w="10000" w:type="dxa"/>
      </w:tblGrid>
      <w:tblPr>
        <w:tblStyle w:val="box"/>
      </w:tblPr>
      <w:tr>
        <w:trPr>
          <w:trHeight w:val="800" w:hRule="atLeast"/>
        </w:trPr>
        <w:tc>
          <w:tcPr>
            <w:tcW w:w="10000" w:type="dxa"/>
          </w:tcPr>
          <w:p>
            <w:pPr/>
            <w:r>
              <w:rPr/>
              <w:t xml:space="preserve">Doseganje študijskih ciljev in kompetenc v okviru študijskega programa Biomedicina temelji na sistematičnem spremljanju študijskega uspeha, prehodnosti, znanstvenih objav in osebnega napredka posameznih študentov. Prav tako doseganje ciljev spremljamo preko seminarjev, s predstavitvenimi predavanji in z rednimi preizkusi znanja pri predmetih. Spremljanje poteka tudi skozi aktivno sodelovanje študentov pri raziskovalnih projektih in raziskovalnem delu. Pomembno je tudi kontinuirano spremljanje napredka študentov pri doseganju specifičnih ciljev študijskega programa, kot so pridobivanje temeljnega znanja o biomedicinskih znanostih, razumevanje kompleksnosti bioloških sistemov, sposobnost kritičnega razmišljanja in reševanja problemov ter razvoj komunikacijskih veščin v strokovnem kontekstu. Specifične kompetence, povezane z disertacijo, spremljamo s predstavitvijo dispozicije doktorske disertacije in javno predstavitvijo rezultatov ob koncu eksperimentalnega dela. Doseganje ciljev spremljamo tudi s sledenjem objav rezultatov doktorskih disertacij v dobrih znanstvenih revijah in z zaposljivostjo diplomantov doktorskega študija Biomedicine. Vir informacij za oceno doseganja ciljev in kompetenc predstavljajo tudi ankete in pogovori s študenti in delodajalci. Učinkovito spremljanje doseganja ciljev omogoča prilagajanje izobraževalnega procesa glede na potrebe študentov in hkrati omogoča tudi izboljšanje študijskega programa na osnovi povratnih informacij študentov, s čimer se zagotavlja visoka kakovost izobraževanja na področju biomedicine.</w:t>
            </w:r>
            <w:br/>
            <w:r>
              <w:rPr/>
              <w:t xml:space="preserve">Z namenom ocene in razprave glede doseganja ustreznih kompetenc doktorskih študentov Biomedicine je bilo na ravni UL 26. 5. 2025 sklicano že drugo letno srečanje deležnikov programa Biomedicina, na temo kompetenc.  Vabljeni so bili člani Programskega sveta, koordinatorji znanstvenih področij in njihovi namestniki, dekani in prodekani za doktorski študij članic izvajalk programa Biomedicina, direktorji sodelujočih raziskovalnih inštitutov, predstavniki delodajalcev, izvajalci programa, strokovne službe članic koordinatoric znanstvenih področij in predstavniki študentov. Namen srečanje je bilo informiranje vseh deležnikov o programu Biomedicine in razprava o doseganju kompetenc doktorjev znanosti, predlogih za posodobitev obstoječih in vključitev novih vsebin, predvsem pa povratna informacija s strani delodajalcev (zdravstveni zavodi, uprava, industrija, farmacevtska podjetja ipd.) o ustreznosti njihovih kompetenc.</w:t>
            </w:r>
            <w:br/>
            <w:r>
              <w:rPr/>
              <w:t xml:space="preserve">Doseganje ciljev in kompetenc spremljamo tudi skozi ocenjevanje kakovosti predstavitev študentov, razumevanje področja ter sodelovanje v razpravah. Poleg tega po posameznih področjih spremljajo doseganje ciljev in kompetenc še na naslednje načine:</w:t>
            </w:r>
            <w:br/>
            <w:r>
              <w:rPr/>
              <w:t xml:space="preserve">Na področjih Biokemija in molekularna biologija ter Toksikologija po zaključku izvajanja temeljnega modula vsi izvajalci na skupnem sestanku preverijo doseganje kompetenc in se dogovorijo o morebitnih izboljšavah. Na področjih Medicinska mikrobiologija in Nevroznanost izvajajo poglobljene individualne pogovore z vsemi študenti ob koncu pouka, s katerim preverjajo izpolnitev pričakovanj ter razpravljajo o morebitnih predlogah za izboljšave. Na področjih Farmacija, Genetika, Medicina – klinična usmeritev in Medicina – temeljna usmeritev doseganje vmesnih ciljev in kompetenc preverjajo s spremljanjem dogovorjenih kazalnikov na ravni študijskega programa – študijskega uspeha, prehodnosti, znanstvenih objav in napredka pri posameznem študentu. Na področjih Farmacija in Veterinarska medicina spremljajo doseganje tudi na podlagi zaposljivosti doktorandov ter na podlagi razgovorov z delodajalci. Na področjih Klinična biokemija in laboratorijska biomedicina, Veterinarska medicina in Javno zdravje pa znanstvenoraziskovalne kompetence ocenjujejo tako preko raziskovalnega dela, ki ga študenti opravljajo za doktorsko disertacijo in rednih poročanj napredka mentorju, uspešne prijave dispozicije doktorske disertacije, zagovora faznih poročil pred komisijo in tudi preko objavljenih znanstvenih publikacij.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5" w:name="_Toc15"/>
      <w:r>
        <w:t>Temeljni cilji študijskega programa in pričakovane kompetence diplomantov - Ocena doseganja ciljev in kompetenc</w:t>
      </w:r>
      <w:bookmarkEnd w:id="15"/>
    </w:p>
    <w:p>
      <w:pPr/>
      <w:r>
        <w:rPr/>
        <w:t xml:space="preserve">Na kratko ocenite doseganje temeljnih ciljev ŠP in kompetenc diplomantov.Oceno utemeljite npr. z mnenji diplomantov, delodajalcev, študentov*, zaposljivostjo, kakovostjo zaključnih in projektnih del, znanstvenih objav ipd.  </w:t>
      </w:r>
    </w:p>
    <w:p>
      <w:pPr/>
      <w:r>
        <w:rPr>
          <w:i w:val="1"/>
          <w:iCs w:val="1"/>
        </w:rPr>
        <w:t xml:space="preserve">*Spodnji graf prikazuje doseganje kompetenc študentov.</w:t>
      </w:r>
    </w:p>
    <w:tbl>
      <w:tblGrid>
        <w:gridCol w:w="10000" w:type="dxa"/>
      </w:tblGrid>
      <w:tblPr>
        <w:tblStyle w:val="box"/>
      </w:tblPr>
      <w:tr>
        <w:trPr>
          <w:trHeight w:val="800" w:hRule="atLeast"/>
        </w:trPr>
        <w:tc>
          <w:tcPr>
            <w:tcW w:w="10000" w:type="dxa"/>
          </w:tcPr>
          <w:p>
            <w:pPr/>
            <w:r>
              <w:rPr/>
              <w:t xml:space="preserve">Ocenjujemo, da so temeljni cilji študijskega programa doseženi na vseh področjih. To je razvidno tako iz kakovosti doktorskih del, ki se odraža v porastu objav v vrhunskih mednarodnih revijah z visokim faktorjem vpliva, kot iz zelo dobre zaposljivosti doktorandov tako v industriji kot v zdravstvenih ustanovah in v akademski sferi. Iz anket je razvidno, da študentje na splošno ocenjujejo, da sta sam študijski program kot njegova izvedba dobro zasnovana.</w:t>
            </w:r>
            <w:br/>
            <w:r>
              <w:rPr/>
              <w:t xml:space="preserve">Oceno o doseganju temeljnih ciljev utemeljujemo tudi s številnimi znanstvenimi dosežki in nagradami doktorskih študentov ter sodelovanju doktorandov pri objavah v uglednih znanstvenih revijah na različnih področjih. V primerjavi s prejšnjimi leti kakovost znanstvenih objav narašča, kar je razvidno iz porasta objav v prvem kvartilu znanstvenih področij in tudi v vrhunskih mednarodnih revijah. V okviru raziskovalnega dne na UL FFA je v letu 2024 bilo nagrajenih šest doktorskih študentov za odlične objave v revijah z visokim faktorjem vpliva. Dobitniki prestižne Preglove nagrade za izjemno doktorsko delo v letu 2024 je bil dr. Jaka Dernovšek, ki je prejel nagrado za doktorsko delo z naslovom »Načrtovanje, sinteza in vrednotenje novih zaviralcev proteina toplotnega šoka 90 s protitumornim delovanjem«. Delo je opravil pod mentorstvom prof. dr. Tihomirja Tomašiča in somentorja izr. prof. dr. Naceta Zidarja. Dr. Aleša Bricelj (Fakulteta za farmacijo UL) je prejela Nagrado dr. Ane Mayer Kansky za odmevno doktorsko delo z naslovom Načrtovanje, sinteza in vrednotenje himernih molekul za inducirano razgradnjo proteinov, vpletenih v patogenezo malignih obolenj (področje naravoslovje). Mentor doktorskega dela je izr. prof. dr. Izidor Sosič, somentor prof. dr. Marko Anderluh. Ob tem velja izpostaviti tudi mednarodne nagrade za najboljše posterje ter velike Krkine nagrade za raziskovalne dosežke. Zaposljivost doktorjev znanosti v akademski sferi kakor tudi na drugih področjih je zelo dobra. </w:t>
            </w:r>
            <w:br/>
            <w:r>
              <w:rPr/>
              <w:t xml:space="preserve">Na področju Veterinarske medicine so bili znanstveni članki, ki so jih doktorandi (n=4) uveljavljali kot pogoj za dokončanje doktorskega usposabljanja, objavljeni v revijah 1. 2. in 3. kvartila znanstvenega področja. Ena doktorska disertacija je bila zaključena  v obliki znanstvenih člankov. </w:t>
            </w:r>
            <w:br/>
            <w:r>
              <w:rPr/>
              <w:t xml:space="preserve">Tudi na MF podatki kažejo, da je kar 70 % del objavljenih v povezavi z doktorskimi nalogami diplomantov s področja Biokemija in molekularna biologija objavljenih v revijah iz 1. kvartila, kar 92 % pa v revijah 1. ali 2. kvartila. Raste tudi kakovost objav na drugih študijskih področjih: v prvih dveh kvartilih revij z določenega področja je objavljenih kar 82 % člankov diplomantov področja Javno zdravje, 88 % objav s področja Medicina- temeljna usmeritev, 85 % objav s področja Nevroznanosti in 67 % objav s področja Medicina – klinična usmeritev. Ker je bil na področju Medicinska mikrobiologija prvi študent vpisan v šolskem letu 2021/2022, zaenkrat še ni zaključenega doktorata s tega področja, prav tako ne povezanih objav. </w:t>
            </w:r>
            <w:br/>
            <w:r>
              <w:rPr/>
              <w:t xml:space="preserve">Na področju Genetika so v študijskem letu 2023/2024 objavili 85 % člankov iz doktorskih disertacij v revijah 1. kvartila. Dve doktorandki sta dobili zaposlitev na eminentnih institucijah v tujini kot podoktorski raziskovalki, ena pa v biotehnološkem slovenskem podjetju.</w:t>
            </w:r>
            <w:br/>
            <w:r>
              <w:rPr/>
              <w:t xml:space="preserve">Tudi na MF in VF dobra zaposljivost doktorandov kaže, da programi dosegajo cilje in kompetence. V Sloveniji je zaposljivost doktorandov s področja temeljnih raziskav vezana predvsem na potrebe akademskih institucij po obnovi kadrov kot tudi na trenutne potrebe raziskovalnih institucij in povečane potrebe po vrhunsko usposobljenih kadrih v industriji, zlasti v farmacevtski industriji. Zaposlovanje doktorandov s področja kliničnih medicinskih raziskav in nevroznanosti pa je vezano predvsem na klinične ustanove, še zlasti UKC Ljubljana. Zaposljivost doktorandov s področja javnega zdravja je zelo dobra zaradi tega, ker doktorski študij študentje te smeri večinoma vpisujejo s soglasjem delodajalca. Glede na dobro zaposljivost naših doktorandov na vseh področjih lahko sklepamo, da so doseženi temeljni cilji programa in so naši diplomanti pridobili pričakovane kompetence, ki jim omogočajo zaposlitve v različnih ustanovah in organizacijah.</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6" w:name="_Toc16"/>
      <w:r>
        <w:t>Priložnosti za izboljšave</w:t>
      </w:r>
      <w:bookmarkEnd w:id="16"/>
    </w:p>
    <w:p>
      <w:pPr/>
      <w:r>
        <w:rPr/>
        <w:t xml:space="preserve">Kje vidite priložnosti za izboljšave oz. na kakšen način menite, da bi bilo smiselno naslavljati izzive ŠP z vidika doseganja TEMELJNIH CILJEV IN KOMPETENC DIPLOMANTOV?</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Pridobitev znanj s področij novih orodij najnovejših tehnologij, kot so umetna inteligenca in bioinformatika.</w:t>
            </w:r>
          </w:p>
        </w:tc>
      </w:tr>
    </w:tbl>
    <w:tbl>
      <w:tblGrid>
        <w:gridCol w:w="10000" w:type="dxa"/>
      </w:tblGrid>
      <w:tblPr>
        <w:tblStyle w:val="box"/>
      </w:tblPr>
      <w:tr>
        <w:trPr>
          <w:trHeight w:val="100" w:hRule="atLeast"/>
        </w:trPr>
        <w:tc>
          <w:tcPr>
            <w:tcW w:w="10000" w:type="dxa"/>
          </w:tcPr>
          <w:p>
            <w:pPr/>
            <w:r>
              <w:rPr/>
              <w:t xml:space="preserve">Javno zdravje: Izboljševanje metodologije spremljanja kompetenc in doseganja intermediarnih ciljev v zvezi s prijavo teme.</w:t>
            </w:r>
          </w:p>
        </w:tc>
      </w:tr>
    </w:tbl>
    <w:tbl>
      <w:tblGrid>
        <w:gridCol w:w="10000" w:type="dxa"/>
      </w:tblGrid>
      <w:tblPr>
        <w:tblStyle w:val="box"/>
      </w:tblPr>
      <w:tr>
        <w:trPr>
          <w:trHeight w:val="100" w:hRule="atLeast"/>
        </w:trPr>
        <w:tc>
          <w:tcPr>
            <w:tcW w:w="10000" w:type="dxa"/>
          </w:tcPr>
          <w:p>
            <w:pPr/>
            <w:r>
              <w:rPr/>
              <w:t xml:space="preserve">Javno zdravje: skrb za ohranjanje kvalitete domačih revij z IF, v katerih lahko doktoranti obljavljajo članke.</w:t>
            </w:r>
          </w:p>
        </w:tc>
      </w:tr>
    </w:tbl>
    <w:tbl>
      <w:tblGrid>
        <w:gridCol w:w="10000" w:type="dxa"/>
      </w:tblGrid>
      <w:tblPr>
        <w:tblStyle w:val="box"/>
      </w:tblPr>
      <w:tr>
        <w:trPr>
          <w:trHeight w:val="100" w:hRule="atLeast"/>
        </w:trPr>
        <w:tc>
          <w:tcPr>
            <w:tcW w:w="10000" w:type="dxa"/>
          </w:tcPr>
          <w:p>
            <w:pPr/>
            <w:r>
              <w:rPr/>
              <w:t xml:space="preserve">Vse smeri: Izboljšanje pogojev raziskovalnega dela z izgradnjo objektov VF, MF in FFA  bo zagotovo vplivalo tudi na izboljšanje kompetenc doktorandov. </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17" w:name="_Toc17"/>
      <w:r>
        <w:t>3. Ustreznost vsebine ŠP in njegovih učnih enot</w:t>
      </w:r>
      <w:bookmarkEnd w:id="17"/>
    </w:p>
    <w:p>
      <w:pPr>
        <w:sectPr>
          <w:type w:val="continuous"/>
          <w:pgSz w:orient="portrait" w:w="11905.511811023622" w:h="16837.79527559055"/>
          <w:pgMar w:top="1440" w:right="1440" w:bottom="1440" w:left="1440" w:header="720" w:footer="720" w:gutter="0"/>
          <w:cols w:num="1" w:space="720"/>
        </w:sectPr>
      </w:pPr>
    </w:p>
    <w:p/>
    <w:p>
      <w:pPr>
        <w:pStyle w:val="Heading2"/>
      </w:pPr>
      <w:bookmarkStart w:id="18" w:name="_Toc18"/>
      <w:r>
        <w:t>Ustreznost vsebine - Razvoj stroke oz. področja</w:t>
      </w:r>
      <w:bookmarkEnd w:id="18"/>
    </w:p>
    <w:p>
      <w:pPr/>
      <w:r>
        <w:rPr/>
        <w:t xml:space="preserve">Kako skrbite, da vsebine ŠP in njegovih učnih enot primerno odražajo razvoj stroke oz. področja. (vključite najaktualnejše raziskave oz. umetniške dosežke s področja ŠP)Utemeljite ali podkrepite s temeljnimi usmeritvami ali konkretnimi primeri.</w:t>
      </w:r>
    </w:p>
    <w:tbl>
      <w:tblGrid>
        <w:gridCol w:w="10000" w:type="dxa"/>
      </w:tblGrid>
      <w:tblPr>
        <w:tblStyle w:val="box"/>
      </w:tblPr>
      <w:tr>
        <w:trPr>
          <w:trHeight w:val="800" w:hRule="atLeast"/>
        </w:trPr>
        <w:tc>
          <w:tcPr>
            <w:tcW w:w="10000" w:type="dxa"/>
          </w:tcPr>
          <w:p>
            <w:pPr/>
            <w:r>
              <w:rPr/>
              <w:t xml:space="preserve">Za celotni program velja, da so predavatelji tudi samo raziskovalci, prejemniki najvišjih državnih in uglednih mednarodnih priznanj, ki prenašajo v program tudi lastne dosežke, vsekakor pa novosti na strokovnem / znanstvenem področju. V nadaljevanju navedbe po posameznih poljih:</w:t>
            </w:r>
            <w:br/>
            <w:r>
              <w:rPr/>
              <w:t xml:space="preserve"/>
            </w:r>
            <w:br/>
            <w:r>
              <w:rPr/>
              <w:t xml:space="preserve">Veterinarska medicina: vključevanje novih izvajalcev. Vsi izvajalci v študij vključujejo novosti na področju in zahtevne ter aktualne vsebine. Med te sodijo tudi izsledki in dosežki njihovih raziskav, s katerimi pri študijskih aktivnostih seznanijo doktorande. Temu so namenjena tudi uvodna predstavitvena predavanja v 1. letniku študija. Oktobra 2024 se je večina podiplomskih študentov aktivno udeležila Slovenskega veterinarskega kongresa, na katerem podelimo tudi Zavrnikovo priznanje za najboljšo doktorsko disertacijo s področja veterinarske medicine v zadnjem triletnem obdobju (https://vetkongres.si/program/program-kongresa/).</w:t>
            </w:r>
            <w:br/>
            <w:r>
              <w:rPr/>
              <w:t xml:space="preserve"/>
            </w:r>
            <w:br/>
            <w:r>
              <w:rPr/>
              <w:t xml:space="preserve">Genetika: vključevanje novih vsebin v poučevanje (npr. zamenjava primerov za prikaz konceptov), pri večjih novostih vključevanje novih izvajalcev / predmetov. </w:t>
            </w:r>
            <w:br/>
            <w:r>
              <w:rPr/>
              <w:t xml:space="preserve"/>
            </w:r>
            <w:br/>
            <w:r>
              <w:rPr/>
              <w:t xml:space="preserve">Farmacija, Klinična biokemija in laboratorijska biomedicina (KBLB), Toksikologija: Učitelji na vseh treh znanstvenih področjih na UL FFA so hkrati pedagogi in najuspešnejši raziskovalci zaposleni na Fakulteti za farmacijo, farmacevtski industrij ter najuglednejših domačih inštitutih. Njihovo osnovno poslanstvo je raziskovalno delo ter prenos najaktualnejših znanj na doktorske študente bodisi v okviru učnih enot ali tem doktorskih dispozicij. Med njimi so nagrajenci z najvišjimi priznanji kot sta prof.dr. Vrečer Franc (2025 Puhova nagrada za življenjsko delo), prof. dr.Matjaž Jeras (2025 Puhova nagrada skupini za vrhunske dosežke), prof.dr. Lucija Peterlin Mašič (2023 Zoisovo priznanje za vrhunske dosežke).  S širokim naborom učiteljev zagotavljamo, da so najaktualnejša znanja in najnovejši napredek stroke predstavljeni doktorskim študentom.  Učitelji so svoje najnovejše raziskovalne dosežke vključili v predavanja in dispozicije doktorskih disertacij. Na UL FFA v letu 2024 glede na preteklo leto pridobili 3 nove raziskovalne projekte, 1 nov zagonski raziskovalni program UL in povečanje sredstev pri enem raziskovalnem programu. Skupno smo povečali obseg tovrstnega financiranja raziskovalnega dela za 6,8 FTE (povečanje za 17 % v primerjavi z letom 2023). Prav tako smo malenkost povečali obseg financiranja iz evropskih mednarodnih projektov. Tudi v letu 2024 smo nadaljevali z dolgoletno rastjo celotnega obsega financiranja znanstveno-raziskovalne dejanosti, v primerjavi z letom 2023 se je povečal za 7,7 FTE (11 %). Sodelavci UL FFA so raziskovalne dosežke objavljali v prestižnih publikacijah s področja naravoslovja in medicine, s katerimi je fakulteta dosegala znatno družbeno odmevnost. Število objav znanstvenih del in s tem povezani kazalci so bili v letu 2024 za tretjino večji kot v letu 2023. UL FFA je v letu 2024 ohranila sodelovanje s ključnimi gospodarskimi subjekti na področju farmacije doma in v tujini.  V letu 2024 smo nadgradili raziskovalno opremo iz naslova Paketa 22 (javni razpis za sofinanciranje nakupov raziskovalne opreme s strani ARIS-a). Realizirali smo nakup sedmih večjih kosov raziskovalne opreme v višini 1 575 000 EUR. Vse to vpliva tudi na razvoj področij programa Biomedicina.</w:t>
            </w:r>
            <w:br/>
            <w:r>
              <w:rPr/>
              <w:t xml:space="preserve"/>
            </w:r>
            <w:br/>
            <w:r>
              <w:rPr/>
              <w:t xml:space="preserve">Na področjih Medicina – temeljna usmeritev, Medicina – klinična usmeritev, BMB, Medicinska mikrobiologija, Javno zdravje, Nevroznanost program izvajajo raziskovalno najbolj aktivni učitelji in mentorji, kar dokazujejo tudi vrhunske objave v preteklem letu. Učitelji in znanstveni sodelavci na področju Medicina – temeljna usmeritev objavljajo v najprestižnejših revijah, kot sta na primer The Lancet, Alzheimers &amp; Dementia. Prof. dr. Tadej Battelino in prof. dr. Klemen Dovč sta soavtorja 15. izdaje Williamsovega učbenika endokrinologije, ki je že 75 let najpomembnejši zlati standard v celotnem spektru motenj endokrinega sistema pri odraslih in otrocih. </w:t>
            </w:r>
            <w:br/>
            <w:r>
              <w:rPr/>
              <w:t xml:space="preserve"/>
            </w:r>
            <w:br/>
            <w:r>
              <w:rPr/>
              <w:t xml:space="preserve">Tudi na študijskem področju Biokemija in molekularna biologija pri izvedbi študija sodelujejo mednarodno uveljavljeni raziskovalci, ki so v preteklem letu za svoje vrhunsko raziskovalno delo prejemniki prestižnih nacionalnih nagrad (npr. prof. dr. Damjana Rozman - Zoisovo nagrada za vrhunske dosežke 2024 in priznanje Andreja Otona Župančiča za leto 2024; prof. dr. Tea Lanišnik Rižner  - Lapanjetova nagrada 2024; prof. dr. Gregor Serša - Frenk Reidy Award for Outstanding Achievements in Bioelectrics 2024; prejemniki nagrade za Najodličnejši raziskovalni dosežki po izboru UL in nagrade ARIS Odlični v znanosti). Svoje raziskovalno delo objavljajo v širokem naboru prestižnih reviji na specifičnih in interdisciplinarnih področjih, kot so npr. Lancet, Nature Reviews Endocrinology, Nature Medicine, Nature communication, Cell Chemical Biology, Cell Communication and Signaling, Thrombosis and Haemostasis, Journal of Extracellular Vesicles, ACS Nano, Acta neuropathologica, Progress in lipid research, Biomedicine &amp; Pharmacotherapy, Nucleic Acids Research, EMBO journal, Journal of Biomedical Science, Bioinformatics. </w:t>
            </w:r>
            <w:br/>
            <w:r>
              <w:rPr/>
              <w:t xml:space="preserve"/>
            </w:r>
            <w:br/>
            <w:r>
              <w:rPr/>
              <w:t xml:space="preserve">Na vseh področjih vsebine pri temeljnih predmetih v 1. letniku in izbirnih predmetih v 2. letniku tudi nenehno posodabljamo in v predavanja vključujemo najnovejša znanstvena spoznanja (npr. vključitev aktualnih področij generativne umetne inteligence in uporabe temeljnih modelov pridobljenih s strojnim učenjem; 11-oksiandrogenov v endokrinologiji; nova orodja za urejanje genoma, zunajceličnih veziklov kot biooznačevalcev). Vsebine s pomočjo študentskih seminarjev prilagajamo tudi novim odkritjem in vsebinam raziskovalnih skupin, v katerih študentje opravljajo doktorske raziskave, tako da vključujemo res največji nabor najaktualnejših raziskav. Študentje se z najsodobnejšimi pristopi spoznajo tudi z udeležbo na brezplačnih delavnicah in srečanjih, organiziranih s strani učiteljev na Biomedicini (e.g. Workshop From Metabolomics to Steroidomics and Mathematical Modeling in 20th Scientific CFGBC Symposium v Ljubljani; mednarodna poletna šola ESHG Pharmacogenomics Course v Portorožu) ali gostujočih predavateljev iz tujine. Ves čas v izvajanje izbirnih predmetov vključujemo tudi mlajše perspektivne raziskovalce in pedagoge, ki dopolnijo predmet z novimi raziskovalnimi tematikami. </w:t>
            </w:r>
            <w:br/>
            <w:r>
              <w:rPr/>
              <w:t xml:space="preserve"/>
            </w:r>
            <w:br/>
            <w:r>
              <w:rPr/>
              <w:t xml:space="preserve">Tudi na študijskem področju Medicinska mikrobiologija učitelji in znanstveni sodelavci, ki sodelujejo pri pouku, objavljajo v najprestižnejših revijah s tega področja (npr. Lancet Oncol, Lancet Global Health, J Infec Dis, Emer Inf Dis, J Gen Virol, mBio) in so njihova dela zelo dobro citirana. Učiteljica na področju Medicinska mikrobiologija akad. prof. dr. Tatjana Avšič-Županc je bila izvoljena za podpredsednico SAZU in je v letu 2025 prejela Zoisovo nagrado za življenjsko delo, prof. dr. Mario Poljak je od januarja 2025 glavni urednik vodilne revije na področju klinične virologije – J Clin Virol. Na področju Nevroznanosti spodbujajo interdisciplinarne translacijske doktorske  raziskave s sodelovanjem raziskovalnih skupin iz Medicinske fakultete UL, UKC Ljubljana, Instituta »Jožef Stefan« in Univerzitetne psihiatrične klinike Ljubljana, kot tudi sodelovanje s tujimi raziskovalnimi skupinami. </w:t>
            </w:r>
            <w:br/>
            <w:r>
              <w:rPr/>
              <w:t xml:space="preserve"/>
            </w:r>
            <w:br/>
            <w:r>
              <w:rPr/>
              <w:t xml:space="preserve">Na znanstvenem področju Javno zdravje sledijo aktualnim temam na področju, prav tako pa spremljajo razvoj mladih raziskovalcev na posameznih področjih javnega zdravja in družinske medicine. Učitelji na področju Javno zdravje so vpeti v številne mednarodne projekte in objavljajo skupaj s sodelavci iz drugih držav mednarodne študije kot je npr. študija sprememb v umrljivosti pred in po pandemiji Covid-19 v državah EU.</w:t>
            </w:r>
            <w:br/>
            <w:r>
              <w:rPr/>
              <w:t xml:space="preserve"/>
            </w:r>
            <w:br/>
            <w:r>
              <w:rPr/>
              <w:t xml:space="preserve">V kontekstu zagotavljanja ustreznosti vsebin in kompetenc smo se na letnem srečanju soočili tudi z napovedmi o vključitvi doktorskih programov v redne delovne obveznosti zaposlenih na univerzah. V sedanjem sistemu zagotavljamo ustreznost kompetenc tudi z večjim številom pedagogov, ki so zaposleni v delovnih okoljih potencialnih zaposlovalcev doktorjev znanosti, s čimer se v realnem času lahko prilagajamo potrebam družbe. V razpravi na letnem srečanju je bilo izpostavljeno, da je vključitev doktorskega študija v redno delovno obveznost smiselna, vendar povzroča dodatne stroške iz temeljnega stebra financiranja (TSF), saj gre za osnovno raziskovalno delo, ki je sestavni del študijske dejavnosti. Hkrati je bilo poudarjeno, da trenutno ni mogoče zagotoviti 60–70 FTE izkušenih in vrhunskih pedagogov ter raziskovalcev za izvedbo doktorskega študija Biomedicina na napovedsni način. Še posebej, ker to 60FTE ni enako 60 strokovnjakov, saj zaradi interdisciplinarnosti ŠP potrebujemo bistveno širši nabor ekspertov. Tudi ob morebitni razbremenitvi obstoječih izvajalcev na prvi in drugi stopnji bi bilo še vedno treba ohraniti enako število izvajalcev tudi za ti stopnji. Zaradi tega je pridobitev kadrov v kratkem času nerealna, posledično pa to pomeni tudi višje stroške zaradi novih zaposlitev. Ob tem je bilo poudarjeno, da razmerje med normirano in pedagoško obveznostjo ni enako na tretji stopnji študija in da gre za tako kvalitativno kot kvantitativno razliko, ki jo je treba upoštevati – sicer bo kakovost doktorskega študija upadala.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19" w:name="_Toc19"/>
      <w:r>
        <w:t>Ustreznost vsebine - Potrebe diplomantov in delovnih organizacij</w:t>
      </w:r>
      <w:bookmarkEnd w:id="19"/>
    </w:p>
    <w:p>
      <w:pPr/>
      <w:r>
        <w:rPr/>
        <w:t xml:space="preserve">Kako skrbite, da vsebine ŠP in njegovih učnih enot primerno odražajo potrebe diplomantov in njihovih delovnih organizacij.</w:t>
      </w:r>
    </w:p>
    <w:tbl>
      <w:tblGrid>
        <w:gridCol w:w="10000" w:type="dxa"/>
      </w:tblGrid>
      <w:tblPr>
        <w:tblStyle w:val="box"/>
      </w:tblPr>
      <w:tr>
        <w:trPr>
          <w:trHeight w:val="800" w:hRule="atLeast"/>
        </w:trPr>
        <w:tc>
          <w:tcPr>
            <w:tcW w:w="10000" w:type="dxa"/>
          </w:tcPr>
          <w:p>
            <w:pPr/>
            <w:r>
              <w:rPr/>
              <w:t xml:space="preserve">Dobra zaposljivost diplomantov na strokovno ustreznih delovnih področjih očitno izkazuje ustreznost vsebin potrebam diplomantov in delodajalcev. Posebnosti polj navajamo v nadaljkevanju.</w:t>
            </w:r>
            <w:br/>
            <w:r>
              <w:rPr/>
              <w:t xml:space="preserve">Veterinarska medicina - letno vpišemo štiri do sedem študentov, kar omogoča individualiziran pristop in prilagoditev študijskih obveznosti glede na raziskovalno usmeritev doktorske disertacije. Večina doktorandov je usmerjena v obnovo pedagoško-raziskovalnih kadrov na VF, zato jih že med študijem vključujemo v izvajanje dodiplomskega študija in delo specialističnih ambulant, kar prispeva k razvoju njihovih strokovnih in raziskovalnih kompetenc. Širok nabor pridobljenih znanj in spretnosti diplomantom omogoča uspešno vključevanje v različna delovna okolja, od akademskega okolja,  javne uprave in farmacevtske industrije do zasebnih veterinarskih organizacij.</w:t>
            </w:r>
            <w:br/>
            <w:r>
              <w:rPr/>
              <w:t xml:space="preserve">Genetika: del Modula 2 (temeljni predmet Genetski koncepti II) je prilagojen specifičnim potrebam posameznih študentov (relativno majhno število vpisanih to omogoča).</w:t>
            </w:r>
            <w:br/>
            <w:r>
              <w:rPr/>
              <w:t xml:space="preserve">Farmacija: Številni doktorandi so prepoznani kot nepogrešljiv kader v farmacevtski industriji in študij je prilagojen potrebam okolja in delovnih organizacij. Z delovnimi organizacijami v okviru projekta Razvoj kadrov skupaj oblikujemo nove generacije diplomantov glede na potrebe v delovnih okoljih.</w:t>
            </w:r>
            <w:br/>
            <w:r>
              <w:rPr/>
              <w:t xml:space="preserve">KBLB: V pedagoškem procesu sodelujejo tudi učitelji, zaposleni v zdravstvu in je pretok informacij ter vpliv na vsebine dvostranski. Raziskovalno delo marsikaterega doktoranda te smeri poteka v okolju UKC Ljubljana ali splošnih bolnišnic. </w:t>
            </w:r>
            <w:br/>
            <w:r>
              <w:rPr/>
              <w:t xml:space="preserve">Na področju Medicina – klinična usmeritev raziskovalno delo za doktorske disertacije poteka večinoma v kliničnih ustanovah (Onkološki inštitut Ljubljana, UKC Ljubljana, KOPA Golnik, UKC Maribor, SB Celje in SB Murska Sobota) pod vodstvom kliničnih mentorjev ter v sodelovanju s predkliničnimi inštituti UL MF in drugimi enotami UL. </w:t>
            </w:r>
            <w:br/>
            <w:r>
              <w:rPr/>
              <w:t xml:space="preserve">Medicina – temeljna usmeritev: v pouk so vključeni učitelji in strokovnjaki iz domačih in tujih inštitucij. </w:t>
            </w:r>
            <w:br/>
            <w:r>
              <w:rPr/>
              <w:t xml:space="preserve">Na področjih Medicina – temeljna usmeritev in Biokemija in molekularna biologija sodelujoči učitelji in raziskovalci spremljajo nove trende z aktivnostjo v številnih mednarodnih strokovnih organizacijah in z raziskovanjem v interdisciplinarnih skupinah, v tesnem sodelovanju s kliničnimi ustanovami, farmacevtskimi podjetji, raziskovalnimi institucijami in zagonskimi podjetji.</w:t>
            </w:r>
            <w:br/>
            <w:r>
              <w:rPr/>
              <w:t xml:space="preserve">Na področju Nevroznanosti velik del usposabljanja poteka v raziskovalnih laboratorijih in kliničnih enotah, študenti pa so vpeti tudi v tekoče klinične raziskave, ki potekajo na področju nevrologije in psihiatrije. Nosilci predmetov v pouk vključujejo najnovejša spoznanja iz mednarodne literature, kot tudi rezultate raziskovalnih projektov in programov, na katerih sodelujejo. Študenti se vključujejo v aktualne projekte, pogosto tudi kot soavtorji objav v revijah z visokim faktorjem vpliva. </w:t>
            </w:r>
            <w:br/>
            <w:r>
              <w:rPr/>
              <w:t xml:space="preserve">Na področju Javno zdravje so v pouk vključeni številni predstavniki največjih zaposlovalcev doktorandov te smeri, poleg tega pa sledijo aktualnim temam na področju in spremljajo razvoj mladih raziskovalcev na posameznih področjih javnega zdravja in družinske medicine.</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0" w:name="_Toc20"/>
      <w:r>
        <w:t>Priložnosti za izboljšave</w:t>
      </w:r>
      <w:bookmarkEnd w:id="20"/>
    </w:p>
    <w:p>
      <w:pPr/>
      <w:r>
        <w:rPr/>
        <w:t xml:space="preserve">Kje vidite priložnosti za izboljšave oz. na kakšen način menite, da bi bilo smiselno naslavljati izzive ŠP z vidika USTREZNOSTI VSEBINE?</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Veterinarska medicina: spodbujanje izvajanja doktorskih raziskav v sodelovanju s tujimi raziskovalnimi skupinami in opravljanje mednarodnih specializacij.</w:t>
            </w:r>
          </w:p>
        </w:tc>
      </w:tr>
    </w:tbl>
    <w:tbl>
      <w:tblGrid>
        <w:gridCol w:w="10000" w:type="dxa"/>
      </w:tblGrid>
      <w:tblPr>
        <w:tblStyle w:val="box"/>
      </w:tblPr>
      <w:tr>
        <w:trPr>
          <w:trHeight w:val="100" w:hRule="atLeast"/>
        </w:trPr>
        <w:tc>
          <w:tcPr>
            <w:tcW w:w="10000" w:type="dxa"/>
          </w:tcPr>
          <w:p>
            <w:pPr/>
            <w:r>
              <w:rPr/>
              <w:t xml:space="preserve">MF: Pridobitev znanj s področij novih orodij umetne inteligence in bioinformatike. </w:t>
            </w:r>
          </w:p>
        </w:tc>
      </w:tr>
    </w:tbl>
    <w:tbl>
      <w:tblGrid>
        <w:gridCol w:w="10000" w:type="dxa"/>
      </w:tblGrid>
      <w:tblPr>
        <w:tblStyle w:val="box"/>
      </w:tblPr>
      <w:tr>
        <w:trPr>
          <w:trHeight w:val="100" w:hRule="atLeast"/>
        </w:trPr>
        <w:tc>
          <w:tcPr>
            <w:tcW w:w="10000" w:type="dxa"/>
          </w:tcPr>
          <w:p>
            <w:pPr/>
            <w:r>
              <w:rPr/>
              <w:t xml:space="preserve">MF: Javno zdravje: spremljanje potreb največjih zaposlovalcev.</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21" w:name="_Toc21"/>
      <w:r>
        <w:t>4. Prednosti in pomanjkljivosti ŠP glede na rezultate študentskih anket in primerljivih mehanizmov</w:t>
      </w:r>
      <w:bookmarkEnd w:id="21"/>
    </w:p>
    <w:p>
      <w:pPr>
        <w:sectPr>
          <w:type w:val="continuous"/>
          <w:pgSz w:orient="portrait" w:w="11905.511811023622" w:h="16837.79527559055"/>
          <w:pgMar w:top="1440" w:right="1440" w:bottom="1440" w:left="1440" w:header="720" w:footer="720" w:gutter="0"/>
          <w:cols w:num="1" w:space="720"/>
        </w:sectPr>
      </w:pPr>
    </w:p>
    <w:p/>
    <w:p>
      <w:pPr>
        <w:pStyle w:val="Heading2"/>
      </w:pPr>
      <w:bookmarkStart w:id="22" w:name="_Toc22"/>
      <w:r>
        <w:t>Prednosti in pomanjkljivosti ŠP - Opis</w:t>
      </w:r>
      <w:bookmarkEnd w:id="22"/>
    </w:p>
    <w:p>
      <w:pPr/>
      <w:r>
        <w:rPr/>
        <w:t xml:space="preserve">Na kratko povzemite ključne prednosti in pomanjkljivosti ŠP, ki izhajajo iz rezultatov študentskih anket* ali drugih primerljivih mehanizmov (npr. pogovori in srečanja s študenti ali njihovimi predstavniki, dodatne/interne ankete itd.). </w:t>
      </w:r>
    </w:p>
    <w:p>
      <w:pPr/>
      <w:r>
        <w:rPr>
          <w:i w:val="1"/>
          <w:iCs w:val="1"/>
        </w:rPr>
        <w:t xml:space="preserve">Navedite predvsem rezultate, ki jih ne obravnavate v ostalih točkah samoevalvacije, kjer so posamezni rezultati iz študentskih anket že prikazani.</w:t>
      </w:r>
    </w:p>
    <w:p>
      <w:pPr/>
      <w:r>
        <w:rPr>
          <w:i w:val="1"/>
          <w:iCs w:val="1"/>
        </w:rPr>
        <w:t xml:space="preserve">*Pri 1. in 2. stopnji študija: anketa o predmetih in izvajalcih, anketa o splošnih vidikih študijskega procesa, anketa o obvezni študijski praksi. Pri 3. stopnji študija: anketa po prvem, drugem, tretjem in četrtem letniku študija.</w:t>
      </w:r>
    </w:p>
    <w:tbl>
      <w:tblGrid>
        <w:gridCol w:w="10000" w:type="dxa"/>
      </w:tblGrid>
      <w:tblPr>
        <w:tblStyle w:val="box"/>
      </w:tblPr>
      <w:tr>
        <w:trPr>
          <w:trHeight w:val="800" w:hRule="atLeast"/>
        </w:trPr>
        <w:tc>
          <w:tcPr>
            <w:tcW w:w="10000" w:type="dxa"/>
          </w:tcPr>
          <w:p>
            <w:pPr/>
            <w:r>
              <w:rPr/>
              <w:t xml:space="preserve">Genetika: ustrezne / relevantne teme in širok nabor predavateljev.</w:t>
            </w:r>
            <w:br/>
            <w:r>
              <w:rPr/>
              <w:t xml:space="preserve">Farmacija, KBLB, Toksikologija: Študenti navajajo manjše zadovoljstvo z naborom predmetov za pridobivanje generičnih znanj in spretnosti (npr. vodenje projektov, pisanje člankov).  Na FFA je bil izveden sklop predavanj v skupni organizaciji študentov, ki je bistveno prispeval k dograditvi prav teh znanj. Doktorski študenti so po zaključenem prvem letniku študija Biomedicine vseh treh znanstvenih področij izpostavili prostor za izboljšave pri izvajanju organiziranih oblik študijskega programa z več spodbujanja kritične razprave. Študenti vidijo možnost izboljšave pri uporabnosti pridobljenega znanja v okviru organiziranih oblik študija pri eksperimentalnem delu na doktorski disertaciji; pri naboru predmetov, ki nudijo generična znanja in spretnosti (vodenje projektov,…); nekateri študenti bi radi imeli več možnosti za opravljanje dela raziskovalnega dela v tujini. Prostor za izboljšave po drugem letniku študija je v naboru predmetov za pridobitev generičnih znanj in spretnosti, ki ni v celoti ustrezen (npr. vodenje projektov, pisanje člankov itd). Študenti želijo opravljati del študija ali raziskovalnega dela v okviru študija v tujini ter želijo več možnosti za to. Študenti tudi izpostavljajo, da jim znanja, pridobljena na organiziranih oblikah, ne pomagajo zadosti pri delu na doktorskih disertacijah. Nekateri študenti nimajo možnosti dograjevanja znanj na mednarodnih konferencah.</w:t>
            </w:r>
            <w:br/>
            <w:r>
              <w:rPr/>
              <w:t xml:space="preserve">Na znanstvenem področju Medicina – klinična usmeritev približno 5 % vpisanih študentov program ocenjuje kot zelo zahteven, predvsem zaradi kombinacije zaposlitve in obsežnih predavanj (v 1. letniku) v popoldanskem času. Omogočen je delni oddaljeni dostop, vendar določene vsebine ostajajo obvezne v živo.</w:t>
            </w:r>
            <w:br/>
            <w:r>
              <w:rPr/>
              <w:t xml:space="preserve">Večina študentov, vpisanih na področje Biokemija in molekularna biologija, je zelo zadovoljna z izvajanjem programa, nezadovoljnih je približno 10 % vpisanih. Predlagano je, da se v študentske ankete vključi ocenjevanje posameznih predmetov za boljše prepoznavanje dobrih praks in potrebnih izboljšav. </w:t>
            </w:r>
            <w:br/>
            <w:r>
              <w:rPr/>
              <w:t xml:space="preserve">Rezultati ankete o pouku za temeljni modul Nevroznanost kažejo visoko zadovoljstvo študentov z vsebinsko zasnovo in izvedbo programa. Študenti  so zelo dobro ocenili ustreznost in aktualnost vsebine, jasnost in kakovost predavanj, raznolikost tem in pristopov, organizacijo in urnik predavanj ter komunikacijo s predavatelji, slabše pa uporabnost za pripravo doktorata. Kot priložnost za izboljšavo so študenti izpostavili , da bi lahko modul trajal dlje, da bi gradiva za predavanja prejeli prej in da bi bila predavanja bolj interaktivna. </w:t>
            </w:r>
            <w:br/>
            <w:r>
              <w:rPr/>
              <w:t xml:space="preserve">Na področje Medicinska mikrobiologija se je prvi študent vpisal v študijskem letu 2021/2022, redni vsakoletni poglobljeni pogovori koordinatorja s študenti ob koncu izvajanja pouka pa kažejo na visoko zadovoljstvo s potekom in organizacijo študija na tem področju. </w:t>
            </w:r>
            <w:br/>
            <w:r>
              <w:rPr/>
              <w:t xml:space="preserve">Javno zdravje: Študentje so na splošno organizacijo pouka na področju Javno zdravje v prvem in drugem letniku študija zelo zadovoljni. Všeč jim je, da se razvijajo njihove kompetence na njihovih idejah za disertacijo, saj so na ta način ves čas osredotočeni na temo in njeno prijavo.</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3" w:name="_Toc23"/>
      <w:r>
        <w:t>Priložnosti za izboljšave</w:t>
      </w:r>
      <w:bookmarkEnd w:id="23"/>
    </w:p>
    <w:p>
      <w:pPr/>
      <w:r>
        <w:rPr/>
        <w:t xml:space="preserve">Kje vidite priložnosti za izboljšave oz. na kakšen način menite, da bi bilo smiselno naslavljati izzive ŠP z vidika PREDNOSTI IN POMANJKLJIVOSTI ŠP GLEDE NA REZULTATE ŠTUDENTSKIH ANKET ALI DRUGIH PRIMERLJIVIH MEHANIZMOV?</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Nevroznanost - dodatno vključevanje bioinformatike in umetne inteligence v učne načrte</w:t>
            </w:r>
          </w:p>
        </w:tc>
      </w:tr>
    </w:tbl>
    <w:tbl>
      <w:tblGrid>
        <w:gridCol w:w="10000" w:type="dxa"/>
      </w:tblGrid>
      <w:tblPr>
        <w:tblStyle w:val="box"/>
      </w:tblPr>
      <w:tr>
        <w:trPr>
          <w:trHeight w:val="100" w:hRule="atLeast"/>
        </w:trPr>
        <w:tc>
          <w:tcPr>
            <w:tcW w:w="10000" w:type="dxa"/>
          </w:tcPr>
          <w:p>
            <w:pPr/>
            <w:r>
              <w:rPr/>
              <w:t xml:space="preserve">Nevroznanost - povečanje števila mednarodnih mentorjev in so-mentorstev</w:t>
            </w:r>
          </w:p>
        </w:tc>
      </w:tr>
    </w:tbl>
    <w:tbl>
      <w:tblGrid>
        <w:gridCol w:w="10000" w:type="dxa"/>
      </w:tblGrid>
      <w:tblPr>
        <w:tblStyle w:val="box"/>
      </w:tblPr>
      <w:tr>
        <w:trPr>
          <w:trHeight w:val="100" w:hRule="atLeast"/>
        </w:trPr>
        <w:tc>
          <w:tcPr>
            <w:tcW w:w="10000" w:type="dxa"/>
          </w:tcPr>
          <w:p>
            <w:pPr/>
            <w:r>
              <w:rPr/>
              <w:t xml:space="preserve">Javno zdravje: Priložnost za še nadaljnje izboljševanje načina poučevanja na področju Javno zdravje, ki je kratkoročno izvedljiva, je vpeljava pogovora s študenti na koncu prvega letnika študija.</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24" w:name="_Toc24"/>
      <w:r>
        <w:t>5.a USPEŠNOST IN UČINKOVITOST ŠTUDIJA: Spremljanje populacije študentov na ravni ŠP</w:t>
      </w:r>
      <w:bookmarkEnd w:id="24"/>
    </w:p>
    <w:p>
      <w:pPr>
        <w:sectPr>
          <w:type w:val="continuous"/>
          <w:pgSz w:orient="portrait" w:w="11905.511811023622" w:h="16837.79527559055"/>
          <w:pgMar w:top="1440" w:right="1440" w:bottom="1440" w:left="1440" w:header="720" w:footer="720" w:gutter="0"/>
          <w:cols w:num="1" w:space="720"/>
        </w:sectPr>
      </w:pPr>
    </w:p>
    <w:p/>
    <w:p>
      <w:pPr>
        <w:pStyle w:val="Heading2"/>
      </w:pPr>
      <w:bookmarkStart w:id="25" w:name="_Toc25"/>
      <w:r>
        <w:t>Spremljanje populacije študentov - Razpis, vpis</w:t>
      </w:r>
      <w:bookmarkEnd w:id="25"/>
    </w:p>
    <w:p>
      <w:pPr/>
      <w:r>
        <w:rPr/>
        <w:t xml:space="preserve">Opišite spremljanje populacije študentov na ravni ŠP in podajte svoj pogled na predstavljene kazalnike. </w:t>
      </w:r>
    </w:p>
    <w:p>
      <w:pPr/>
      <w:r>
        <w:rPr/>
        <w:t xml:space="preserve">Pri tem upoštevajte razpis, vpis.</w:t>
      </w:r>
    </w:p>
    <w:p/>
    <w:tbl>
      <w:tblGrid>
        <w:gridCol/>
      </w:tblGrid>
      <w:tblPr>
        <w:tblW w:w="5000" w:type="pct"/>
        <w:tblLayout w:type="autofit"/>
        <w:bidiVisual w:val="0"/>
      </w:tblPr>
      <w:tr>
        <w:trPr>
          <w:cantSplit w:val="1"/>
        </w:trPr>
        <w:tc>
          <w:tcPr/>
          <w:p>
            <w:pPr>
              <w:jc w:val="center"/>
            </w:pPr>
            <w:r>
              <w:rPr>
                <w:sz w:val="20"/>
                <w:szCs w:val="20"/>
                <w:b w:val="1"/>
                <w:bCs w:val="1"/>
              </w:rPr>
              <w:t xml:space="preserve">Tabela 1: Število vseh vpisanih študentov v letnik po letih in načinu študija</w:t>
            </w:r>
          </w:p>
          <w:tbl>
            <w:tblGrid>
              <w:gridCol/>
              <w:gridCol/>
              <w:gridCol/>
              <w:gridCol/>
              <w:gridCol/>
              <w:gridCol/>
              <w:gridCol/>
            </w:tblGrid>
            <w:tblPr>
              <w:tblW w:w="5000" w:type="pct"/>
              <w:tblLayout w:type="autofit"/>
              <w:bidiVisual w:val="0"/>
            </w:tblP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Način študija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Letnik</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2020/2021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2021/2022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2022/2023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2023/2024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2024/2025</w:t>
                  </w:r>
                </w:p>
              </w:tc>
            </w:tr>
            <w:tr>
              <w:trPr/>
              <w:tc>
                <w:tcPr>
                  <w:vAlign w:val="center"/>
                  <w:tcBorders>
                    <w:top w:val="single" w:sz="6" w:color="000000"/>
                    <w:left w:val="single" w:sz="6" w:color="ffffff"/>
                    <w:right w:val="single" w:sz="6" w:color="ffffff"/>
                    <w:bottom w:val="single" w:sz="6" w:color="000000"/>
                  </w:tcBorders>
                  <w:vMerge w:val="restart"/>
                </w:tcPr>
                <w:p>
                  <w:pPr>
                    <w:jc w:val="center"/>
                    <w:spacing w:before="30" w:after="30"/>
                  </w:pPr>
                  <w:r>
                    <w:rPr>
                      <w:sz w:val="18"/>
                      <w:szCs w:val="18"/>
                      <w:b w:val="0"/>
                      <w:bCs w:val="0"/>
                    </w:rPr>
                    <w:t xml:space="preserve">IZREDNI</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171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156</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131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154</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209</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186</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205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180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183</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176</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129</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124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128</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27</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109</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134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142</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72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28</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49</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67</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Vsota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594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605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602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629</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674</w:t>
                  </w:r>
                </w:p>
              </w:tc>
            </w:tr>
          </w:tbl>
          <w:p/>
        </w:tc>
      </w:tr>
    </w:tbl>
    <w:p/>
    <w:tbl>
      <w:tblGrid>
        <w:gridCol w:w="10000" w:type="dxa"/>
      </w:tblGrid>
      <w:tblPr>
        <w:tblStyle w:val="box"/>
      </w:tblPr>
      <w:tr>
        <w:trPr>
          <w:trHeight w:val="800" w:hRule="atLeast"/>
        </w:trPr>
        <w:tc>
          <w:tcPr>
            <w:tcW w:w="10000" w:type="dxa"/>
          </w:tcPr>
          <w:p>
            <w:pPr/>
            <w:r>
              <w:rPr/>
              <w:t xml:space="preserve">Študijski program Biomedicina je med največjimi doktorskimi programi po številu študentov, kljub temu pa so študenti v veliki meri deležni  dokaj individualnega pristopa, saj je število smeri veliko, poleg tega pa sama modularna struktura temeljnih predmetov omogoča delo v majhnih skupinah. </w:t>
            </w:r>
            <w:br/>
            <w:r>
              <w:rPr/>
              <w:t xml:space="preserve"/>
            </w:r>
            <w:br/>
            <w:r>
              <w:rPr/>
              <w:t xml:space="preserve"> Veterinarska medicina: V študijskem letu 2023/2024 so bili v 1. letnik vpisani 4 študenti, kar pomeni rahlo zmanjšanje vpisa glede na pretekli dve leti (6 v 2022/2023 in 5 v 2021/2022). Kljub manjšemu upadu vpisnih števil ostaja zanimanje za program stabilno. To potrjuje tudi povečan vpis doktorskih študentov (študij je vpisalo 9 študentov) v študijskem letu 2025/26.  </w:t>
            </w:r>
            <w:br/>
            <w:r>
              <w:rPr/>
              <w:t xml:space="preserve"/>
            </w:r>
            <w:br/>
            <w:r>
              <w:rPr/>
              <w:t xml:space="preserve">Genetika: v š.l. 2024/25 je bilo v 1. letnik vpisanih 5 študentov, kar je relativno gledano občuten porast glede na povprečje predhodnih 5 let (1,8 študenta). Takšno število po eni strani vsaj minimalno zagotavlja nadaljnji razvoj stroke, po drugi strani pa omogoča posameznim študentom bolj prilagojen študijski program zaradi mahjnosti skupin.</w:t>
            </w:r>
            <w:br/>
            <w:r>
              <w:rPr/>
              <w:t xml:space="preserve"/>
            </w:r>
            <w:br/>
            <w:r>
              <w:rPr/>
              <w:t xml:space="preserve">Na področju Farmacija smo v letu 2023/24 v prvi letnik vpisali 19 študentov, enega na področje Toksikologija in 5 na področje Klinična biokemija in laboratorijska biomedicina, kar je v skladu z razpisanimi mesti na ta področja.</w:t>
            </w:r>
            <w:br/>
            <w:r>
              <w:rPr/>
              <w:t xml:space="preserve"/>
            </w:r>
            <w:br/>
            <w:r>
              <w:rPr/>
              <w:t xml:space="preserve">Na področje Medicina – temeljna usmeritev je bilo sprejetih 11 študentov, med njimi 3 mladi raziskovalci. </w:t>
            </w:r>
            <w:br/>
            <w:r>
              <w:rPr/>
              <w:t xml:space="preserve"/>
            </w:r>
            <w:br/>
            <w:r>
              <w:rPr/>
              <w:t xml:space="preserve">Vpis na Medicino-klinična smer je bil kot vedno največji in je stabilen. Izmed 64 prijavljenih kandidatov se jih je vpisalo 57, tudi tujcev ostaja od 5-10 letno. Zelo malo je mladih raziskovalcev, v študijskem letu 2024/2025 samo trije.</w:t>
            </w:r>
            <w:br/>
            <w:r>
              <w:rPr/>
              <w:t xml:space="preserve"/>
            </w:r>
            <w:br/>
            <w:r>
              <w:rPr/>
              <w:t xml:space="preserve">V letu 2024/25 je bilo na področje Biokemija in molekularna biologija sprejetih 16 in vpisanih 15 študentov, kar so 4 manj kot v l. 2023/24, ampak podobno kot v prejšnjih letih (l. 2022/23 - 12 študentov, l. 2021/22 - 18 študentov). Ohranil pa se je delež vpisanih študentov glede na sprejete študente (93,8 % v primerjavi z 90,1 % v l. v 2023/24), ter število vpisanih študentov s statusom mladega raziskovalca (10 MR v primerjavi z 11 v l. v 2023/24).</w:t>
            </w:r>
            <w:br/>
            <w:r>
              <w:rPr/>
              <w:t xml:space="preserve"/>
            </w:r>
            <w:br/>
            <w:r>
              <w:rPr/>
              <w:t xml:space="preserve">Na področje Medicinska mikrobiologija so se v študijskem letu 2024/2025 vpisali 4 študenti (med njimi 1 mladi raziskovalec), pomembno več kot v prejšnjih letih. Poleg štirih vpisanih študentov so še trije študenti z drugih področjih vpisali en modul temeljnega predmeta s področja Medicinska mikrobiologija. </w:t>
            </w:r>
            <w:br/>
            <w:r>
              <w:rPr/>
              <w:t xml:space="preserve"/>
            </w:r>
            <w:br/>
            <w:r>
              <w:rPr/>
              <w:t xml:space="preserve">Na področju Nevroznanost je bilo v študijskem letu 2024/2025 v 1. letnik vpisanih 9 študentov (en mladi raziskovalec), kar je nekoliko manj kot leto prej. </w:t>
            </w:r>
            <w:br/>
            <w:r>
              <w:rPr/>
              <w:t xml:space="preserve">Na področje Javno zdravje se je v študijskem letu 2024/2025 vpisalo 13 študentov, kar je skoraj še enkrat več kot leto poprej. Med njimi je bil en mladi raziskovalec, ni pa bilo nobenega tujca.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6" w:name="_Toc26"/>
      <w:r>
        <w:t>Spremljanje populacije študentov - Prehodnost</w:t>
      </w:r>
      <w:bookmarkEnd w:id="26"/>
    </w:p>
    <w:p>
      <w:pPr/>
      <w:r>
        <w:rPr/>
        <w:t xml:space="preserve">Opišite spremljanje populacije študentov na ravni ŠP in podajte svoj pogled na predstavljene kazalnike. </w:t>
      </w:r>
    </w:p>
    <w:p>
      <w:pPr/>
      <w:r>
        <w:rPr/>
        <w:t xml:space="preserve">Pri tem upoštevajte prehodnost (o</w:t>
      </w:r>
      <w:r>
        <w:rPr>
          <w:i w:val="1"/>
          <w:iCs w:val="1"/>
        </w:rPr>
        <w:t xml:space="preserve">d vključno leta 2021/22 se je spremenila metodologija izračuna prehodnosti na ravni UL. Za več informacij glejte pojasnilo v rubriki </w:t>
      </w:r>
      <w:hyperlink r:id="rId8" w:history="1">
        <w:r>
          <w:rPr/>
          <w:t xml:space="preserve">Pogosto zastavljena vprašanja</w:t>
        </w:r>
      </w:hyperlink>
      <w:r>
        <w:rPr/>
        <w:t xml:space="preserve">).</w:t>
      </w:r>
    </w:p>
    <w:p/>
    <w:tbl>
      <w:tblGrid>
        <w:gridCol/>
      </w:tblGrid>
      <w:tblPr>
        <w:tblW w:w="5000" w:type="pct"/>
        <w:tblLayout w:type="autofit"/>
        <w:bidiVisual w:val="0"/>
      </w:tblPr>
      <w:tr>
        <w:trPr>
          <w:cantSplit w:val="1"/>
        </w:trPr>
        <w:tc>
          <w:tcPr/>
          <w:p>
            <w:pPr>
              <w:jc w:val="center"/>
            </w:pPr>
            <w:r>
              <w:rPr>
                <w:sz w:val="20"/>
                <w:szCs w:val="20"/>
                <w:b w:val="1"/>
                <w:bCs w:val="1"/>
              </w:rPr>
              <w:t xml:space="preserve">Tabela 2: Prehodnost iz 1. v 2. letnik po letih</w:t>
            </w:r>
          </w:p>
          <w:tbl>
            <w:tblGrid>
              <w:gridCol/>
              <w:gridCol/>
              <w:gridCol/>
              <w:gridCol/>
              <w:gridCol/>
            </w:tblGrid>
            <w:tblPr>
              <w:tblW w:w="5000" w:type="pct"/>
              <w:tblLayout w:type="autofit"/>
              <w:bidiVisual w:val="0"/>
            </w:tblP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2020/2021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2021/2022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2022/2023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2023/2024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2024/2025</w:t>
                  </w:r>
                </w:p>
              </w:tc>
            </w:t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96,3 %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93,0 %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97,4 %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96,9 %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92,3 %</w:t>
                  </w:r>
                </w:p>
              </w:tc>
            </w:tr>
          </w:tbl>
          <w:p/>
        </w:tc>
      </w:tr>
    </w:tbl>
    <w:p/>
    <w:tbl>
      <w:tblGrid>
        <w:gridCol w:w="10000" w:type="dxa"/>
      </w:tblGrid>
      <w:tblPr>
        <w:tblStyle w:val="box"/>
      </w:tblPr>
      <w:tr>
        <w:trPr>
          <w:trHeight w:val="800" w:hRule="atLeast"/>
        </w:trPr>
        <w:tc>
          <w:tcPr>
            <w:tcW w:w="10000" w:type="dxa"/>
          </w:tcPr>
          <w:p>
            <w:pPr/>
            <w:r>
              <w:rPr/>
              <w:t xml:space="preserve">Prehodnost iz 1. v 2. letnik je na celotnem programu stabilno visoka že vrsto let, kar po eni strani kaže na zavzetost študentov, po drugi strani pa na ustrezno delo mentorjev in pedagoškega osebja.</w:t>
            </w:r>
            <w:br/>
            <w:r>
              <w:rPr/>
              <w:t xml:space="preserve"/>
            </w:r>
            <w:br/>
            <w:r>
              <w:rPr/>
              <w:t xml:space="preserve">Prehodnost na znanstvenem področju Veterinarske medicine je bila do študijskega leta 2023/24 v vseh letnikih 100 %. V študijskem letu 2024/2025 pa je prišlo do zmanjšanja prehodnosti iz 1. v 2. letnik, in sicer za 33 %. Vzrok za to je en izpis, dva študenta pa nista opravila študijskih obveznosti za vpis v višji letnik. Prehodnost v 3. in 4. letnik je ostala 100 %.</w:t>
            </w:r>
            <w:br/>
            <w:r>
              <w:rPr/>
              <w:t xml:space="preserve"/>
            </w:r>
            <w:br/>
            <w:r>
              <w:rPr/>
              <w:t xml:space="preserve">Genetika: prehodnost iz 1. v 2. letnik je bila 100-%, iz 2. v 3. pa 75-% (kar sicer pomeni, da ni redno napredoval samo 1 študent).</w:t>
            </w:r>
            <w:br/>
            <w:r>
              <w:rPr/>
              <w:t xml:space="preserve"/>
            </w:r>
            <w:br/>
            <w:r>
              <w:rPr/>
              <w:t xml:space="preserve">Prehodnost na programih Farmacija, Toksikologija in Klinična biokemija in laboratorijska biomedicina je odlična, nad 92% v vseh letnikih študija.</w:t>
            </w:r>
            <w:br/>
            <w:r>
              <w:rPr/>
              <w:t xml:space="preserve"/>
            </w:r>
            <w:br/>
            <w:r>
              <w:rPr/>
              <w:t xml:space="preserve">Na področjih Medicina – klinična usmeritev je prehodnost iz prvega v drugi letnik odlična, še vedno pa je slabša prehodnost v 3. letnik, kar kaže na težave pri pravočasnih pripravah in prijavah dispozicij doktorskih disertacij.  </w:t>
            </w:r>
            <w:br/>
            <w:r>
              <w:rPr/>
              <w:t xml:space="preserve"/>
            </w:r>
            <w:br/>
            <w:r>
              <w:rPr/>
              <w:t xml:space="preserve">Na področju Medicina – temeljna usmeritev je bila prehodnost iz 1. v 2. letnik in iz 2. v 3. letnik 100 %. </w:t>
            </w:r>
            <w:br/>
            <w:r>
              <w:rPr/>
              <w:t xml:space="preserve"/>
            </w:r>
            <w:br/>
            <w:r>
              <w:rPr/>
              <w:t xml:space="preserve">Prehodnost na znanstvenem področju Biokemija in molekularna biologija je v splošnem zelo dobra; iz 1. v 2. letnik je bila prehodnost 84 %, iz 2. v 3. letnik 100%, iz 3. v 4. letnik pa 79 %. Upad prehoda v 4. letnik je najverjetneje povezan s specifično generacijo, saj smo podoben upad opazili tudi lani pri prehodu iz 2. v 3. letnik (70 %). </w:t>
            </w:r>
            <w:br/>
            <w:r>
              <w:rPr/>
              <w:t xml:space="preserve"/>
            </w:r>
            <w:br/>
            <w:r>
              <w:rPr/>
              <w:t xml:space="preserve">Na področju Medicinska mikrobiologija je bila prehodnost iz 1. v 2. letnik v študijskem letu 2024/25 100 %. </w:t>
            </w:r>
            <w:br/>
            <w:r>
              <w:rPr/>
              <w:t xml:space="preserve"/>
            </w:r>
            <w:br/>
            <w:r>
              <w:rPr/>
              <w:t xml:space="preserve">Na področju Nevroznanost prehodnost ostaja stabilna in kaže na uspešno mentorstvo in individualno spremljanje. </w:t>
            </w:r>
            <w:br/>
            <w:r>
              <w:rPr/>
              <w:t xml:space="preserve"/>
            </w:r>
            <w:br/>
            <w:r>
              <w:rPr/>
              <w:t xml:space="preserve">Na področju Javno zdravje je bila prehodnost iz 1. v 2. letnik 100%, iz 2. v 3. letnik le 60%, iz 3. v 4. letnik pa je ponovno bila 100%. Predvidevamo, da je slaba prehodnost iz 2. v 3. letnik le prehodna.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7" w:name="_Toc27"/>
      <w:r>
        <w:t>Spremljanje populacije študentov - Zaključek študija</w:t>
      </w:r>
      <w:bookmarkEnd w:id="27"/>
    </w:p>
    <w:p>
      <w:pPr/>
      <w:r>
        <w:rPr/>
        <w:t xml:space="preserve">Opišite spremljanje populacije študentov na ravni ŠP in podajte svoj pogled na predstavljene kazalnike. </w:t>
      </w:r>
    </w:p>
    <w:p>
      <w:pPr/>
      <w:r>
        <w:rPr/>
        <w:t xml:space="preserve">Pri tem upoštevajte zaključek študija (</w:t>
      </w:r>
      <w:r>
        <w:rPr>
          <w:i w:val="1"/>
          <w:iCs w:val="1"/>
        </w:rPr>
        <w:t xml:space="preserve">število diplomantov je prikazano za koledarsko leto</w:t>
      </w:r>
      <w:r>
        <w:rPr/>
        <w:t xml:space="preserve">).</w:t>
      </w:r>
    </w:p>
    <w:p/>
    <w:tbl>
      <w:tblGrid>
        <w:gridCol/>
      </w:tblGrid>
      <w:tblPr>
        <w:tblW w:w="5000" w:type="pct"/>
        <w:tblLayout w:type="autofit"/>
        <w:bidiVisual w:val="0"/>
      </w:tblPr>
      <w:tr>
        <w:trPr>
          <w:cantSplit w:val="1"/>
        </w:trPr>
        <w:tc>
          <w:tcPr/>
          <w:p>
            <w:pPr>
              <w:jc w:val="center"/>
            </w:pPr>
            <w:r>
              <w:rPr>
                <w:sz w:val="20"/>
                <w:szCs w:val="20"/>
                <w:b w:val="1"/>
                <w:bCs w:val="1"/>
              </w:rPr>
              <w:t xml:space="preserve">Tabela 3: Število diplomantov po letih</w:t>
            </w:r>
          </w:p>
          <w:tbl>
            <w:tblGrid>
              <w:gridCol/>
              <w:gridCol/>
              <w:gridCol/>
              <w:gridCol/>
              <w:gridCol/>
            </w:tblGrid>
            <w:tblPr>
              <w:tblW w:w="5000" w:type="pct"/>
              <w:tblLayout w:type="autofit"/>
              <w:bidiVisual w:val="0"/>
            </w:tblP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2024</w:t>
                  </w:r>
                </w:p>
              </w:tc>
            </w:t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75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71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97</w:t>
                  </w:r>
                </w:p>
              </w:tc>
            </w:tr>
          </w:tbl>
          <w:p/>
        </w:tc>
      </w:tr>
    </w:tbl>
    <w:p/>
    <w:tbl>
      <w:tblGrid>
        <w:gridCol w:w="10000" w:type="dxa"/>
      </w:tblGrid>
      <w:tblPr>
        <w:tblStyle w:val="box"/>
      </w:tblPr>
      <w:tr>
        <w:trPr>
          <w:trHeight w:val="800" w:hRule="atLeast"/>
        </w:trPr>
        <w:tc>
          <w:tcPr>
            <w:tcW w:w="10000" w:type="dxa"/>
          </w:tcPr>
          <w:p>
            <w:pPr/>
            <w:r>
              <w:rPr/>
              <w:t xml:space="preserve">Veterinarska medicina: Število zaključenih doktoratov na področju Veterinarska medicina se je v primerjavi s predhodnim študijskim letom povečalo s 4 na 7.</w:t>
            </w:r>
            <w:br/>
            <w:r>
              <w:rPr/>
              <w:t xml:space="preserve"/>
            </w:r>
            <w:br/>
            <w:r>
              <w:rPr/>
              <w:t xml:space="preserve">Genetika: 4 zaključeni doktorati v 2024/25.</w:t>
            </w:r>
            <w:br/>
            <w:r>
              <w:rPr/>
              <w:t xml:space="preserve"/>
            </w:r>
            <w:br/>
            <w:r>
              <w:rPr/>
              <w:t xml:space="preserve">Na področju Biokemije in molekularne biologije je bilo v študijskem letu 2024/25 11 zaključenih doktoratov, kar je podobno preteklim trendom (13 v l. 2023/24, 11 v l. 2022/23). To najverjetneje sovpada z visokim odstotkom študentov s statusom mladega raziskovalca. Nasprotno je bilo opaziti padec števila odobrenih tem iz 16 (l. 2022/23) na 6. Tudi na drugih področjih je število zaključenih doktoratov podobno kot v prejšnjem letu.</w:t>
            </w:r>
            <w:br/>
            <w:r>
              <w:rPr/>
              <w:t xml:space="preserve"/>
            </w:r>
            <w:br/>
            <w:r>
              <w:rPr/>
              <w:t xml:space="preserve">Ker je bil na področju Medicinska mikrobiologija prvi študent vpisan v šolskem letu 2021/2022, zaenkrat še ni zaključenega doktorata s tega področja, je pa nekaj odmevnih objav študentov.</w:t>
            </w:r>
            <w:br/>
            <w:r>
              <w:rPr/>
              <w:t xml:space="preserve"/>
            </w:r>
            <w:br/>
            <w:r>
              <w:rPr/>
              <w:t xml:space="preserve">Na smereh  v upravljanju UL FFA je v letu 2024 doktoriralo 12 študentov (8 na področju Farmacija, 2 na področju Toksikologija in 1 na področju Klinične biokemije in  laboratorijske biomedicine. Kar je manj kot v letu 2023, ko je doktorski študij zaključilo 24 študentov in v letu 2025, ko je študij zaključilo 22 študentov.</w:t>
            </w:r>
            <w:br/>
            <w:r>
              <w:rPr/>
              <w:t xml:space="preserve"/>
            </w:r>
            <w:br/>
            <w:r>
              <w:rPr/>
              <w:t xml:space="preserve">Na področju Medicina- klinična usmeritev opažajo, da število odobrenih doktorskih tem v 2024/2025 dobro korelira s številom vpisanih študentov, ki je v zadnjih letih precej konstantno, število zaključenih doktoratov pa je za tretjino nižje. Razlogi za to so večinoma pričetek specializacije po prvem letu doktorskega študija in obremenjenost s kliničnim delom. Veliko tujih študentov se že med doktorskim študijem odloči za nadaljevanje svoje karierne poti v tujini, nekateri si poiščejo tujega somentorja, nekateri pa študij opustijo.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8" w:name="_Toc28"/>
      <w:r>
        <w:t>Ocena oz. vrednotenje</w:t>
      </w:r>
      <w:bookmarkEnd w:id="28"/>
    </w:p>
    <w:p>
      <w:pPr/>
      <w:r>
        <w:rPr/>
        <w:t xml:space="preserve">Na splošno podajte oceno izvajanja ŠP v luči zgornjih kazalnikov. </w:t>
      </w:r>
    </w:p>
    <w:p>
      <w:pPr/>
      <w:r>
        <w:rPr/>
        <w:t xml:space="preserve">Oceno utemeljite z navedbami trendov kazalnikov, mnenji, ugotovitvami.</w:t>
      </w:r>
    </w:p>
    <w:tbl>
      <w:tblGrid>
        <w:gridCol w:w="10000" w:type="dxa"/>
      </w:tblGrid>
      <w:tblPr>
        <w:tblStyle w:val="box"/>
      </w:tblPr>
      <w:tr>
        <w:trPr>
          <w:trHeight w:val="800" w:hRule="atLeast"/>
        </w:trPr>
        <w:tc>
          <w:tcPr>
            <w:tcW w:w="10000" w:type="dxa"/>
          </w:tcPr>
          <w:p>
            <w:pPr/>
            <w:r>
              <w:rPr/>
              <w:t xml:space="preserve">Skupno število vpisanih študentov v program kaže v zadnjih 5 letih trend blagega povečevanja. </w:t>
            </w:r>
            <w:br/>
            <w:r>
              <w:rPr/>
              <w:t xml:space="preserve"/>
            </w:r>
            <w:br/>
            <w:r>
              <w:rPr/>
              <w:t xml:space="preserve">Veterinarska medicina: Kljub relativno nizkemu vpisu študentov se ŠP uspešno izvaja z upoštevanjem individualnih potreb. Modula 1 in 2 se izvajata kombinirano, s predavanji in individualnimi konzultacijami, kar omogoča prilagodljiv pristop k študentom. Zaradi manjšega števila vpisanih v modul 3 se ta izvaja predvsem v obliki individualnih konzultacij, kar zagotavlja učinkovito spremljanje napredka doktorandov. Število zaključenih doktoratov se je v primerjavi s predhodnim študijskim letom povečalo s 4 na 7, kar kaže na rast učinkovitosti in kakovosti programa. Število vpisanih študentov v 1. letnik v letu 2023/24 je nekoliko upadlo (4), kar je znotraj pričakovane naravne fluktuacije, a se trend obnavlja. V študijskem letu 2024/25 se je v prvi letnik vpisalo 9 doktorandov. Prehodnost med letniki je visoka, kar potrjuje uspešnost programa in učinkovitost mentoriranja. Skupno kazalniki potrjujejo, da ŠP na področju Veterinarska medicina dosega zastavljene cilje in je v skladu s pričakovanji glede kakovosti, uspešnosti študentov in zaposljivosti diplomantov. </w:t>
            </w:r>
            <w:br/>
            <w:r>
              <w:rPr/>
              <w:t xml:space="preserve"/>
            </w:r>
            <w:br/>
            <w:r>
              <w:rPr/>
              <w:t xml:space="preserve">Genetika: trend povečanja vpisa bo - v kolikor se bo nadaljeval tudi v prihodnjih letih - zagotovil razvoj stroke. Izvedba Modula 1 je navkljub nizkemu številu vpisanih študentov vedno v obliki predavanj, pri Modulu 2 pa smo prešli na posameznikom prilagojene vsebine, kar se je izkazalo kot dobro. </w:t>
            </w:r>
            <w:br/>
            <w:r>
              <w:rPr/>
              <w:t xml:space="preserve"/>
            </w:r>
            <w:br/>
            <w:r>
              <w:rPr/>
              <w:t xml:space="preserve">Povečuje se trend vpisa na področje Farmacija in Klinična biokemija in laboratorijska biomedicina, kar je v skladu s potrebami po teh diplomantih na trgu.</w:t>
            </w:r>
            <w:br/>
            <w:r>
              <w:rPr/>
              <w:t xml:space="preserve"/>
            </w:r>
            <w:br/>
            <w:r>
              <w:rPr/>
              <w:t xml:space="preserve">Na znanstvenih področjih Medicina-temeljna usmeritev in Medicinska mikrobiologija so vsi kazalniki pozitivni. </w:t>
            </w:r>
            <w:br/>
            <w:r>
              <w:rPr/>
              <w:t xml:space="preserve"/>
            </w:r>
            <w:br/>
            <w:r>
              <w:rPr/>
              <w:t xml:space="preserve">Na področju Medicina- klinična smer je število vpisanih stabilno, prav tako prehodnost. </w:t>
            </w:r>
            <w:br/>
            <w:r>
              <w:rPr/>
              <w:t xml:space="preserve"/>
            </w:r>
            <w:br/>
            <w:r>
              <w:rPr/>
              <w:t xml:space="preserve">Na področju Biokemija in molekularna biologija kazalci ostajajo spodbudni . Ohranja se trend povečanega vpisa in števila študentov s statusom mladega raziskovalca glede na l. 2022/23 ter v splošnem odlična prehodnost, kar kaže na atraktiven in kvalitetno izveden študijski program. Še posebno spodbudna je 100% prehodnost iz 2. v 3. letnik, kar pomeni da imajo mentorji dobro zastavljene študije in študentje lahko pravočasno zagovarjajo temo doktorske disertacije. </w:t>
            </w:r>
            <w:br/>
            <w:r>
              <w:rPr/>
              <w:t xml:space="preserve"/>
            </w:r>
            <w:br/>
            <w:r>
              <w:rPr/>
              <w:t xml:space="preserve">Tudi na področju Nevroznanost kazalniki kažejo zadovoljivo prehodnost in uspešnost študija in so podobni kot prejšnja leta. Ker doktorski študenti večinoma opravljajo tudi specializacijo, je število MR-jev zelo nizko, v letu 2024/2025 se je vpisal samo en MR.  Izboljšava bi bila v povečanju števila MR-jev, ker se samo le-ti lahko 100 % posvečajo raziskovalnemu delu. </w:t>
            </w:r>
            <w:br/>
            <w:r>
              <w:rPr/>
              <w:t xml:space="preserve"/>
            </w:r>
            <w:br/>
            <w:r>
              <w:rPr/>
              <w:t xml:space="preserve">Na področju Javno zdravje se je vpis v primerjavi z letom poprej skoraj podvojil, vendar so bile takšne razlike prisotne tudi že v preteklosti.</w:t>
            </w:r>
            <w:br/>
            <w:r>
              <w:rPr/>
              <w:t xml:space="preserve"/>
            </w:r>
            <w:br/>
            <w:r>
              <w:rPr/>
              <w:t xml:space="preserve">Na področju Medicina- klinična usmeritev opažajo, da precejšen delež študentov študija ne zaključi v štirih letih, ampak študij podaljšajo za 1 – 2 leti, nekateri tudi za več let ali pa študij opustijo. Razlogi za to so večinoma pričetek specializacije po prvem letu doktorskega študija in obremenjenost s kliničnim delom. Veliko tujih študentov se že med doktorskim študijem odloči za nadaljevanje svoje karierne poti v tujini in študij večinoma opustijo, le nekateri pa študij zaključijo pod vodstvom tujega  somentorja.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29" w:name="_Toc29"/>
      <w:r>
        <w:t>Priložnosti za izboljšave</w:t>
      </w:r>
      <w:bookmarkEnd w:id="29"/>
    </w:p>
    <w:p>
      <w:pPr/>
      <w:r>
        <w:rPr/>
        <w:t xml:space="preserve">Kje vidite priložnosti za izboljšave oz. na kakšen način menite, da bi bilo smiselno naslavljati izzive ŠP z vidika SPREMLJANJA POPULACIJE ŠTUDENTOV?</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Analiza stanja zaključevanja študentov na različnih področjih Biomedicine in rešitve za povečanje zaključevanja študija.</w:t>
            </w:r>
          </w:p>
        </w:tc>
      </w:tr>
    </w:tbl>
    <w:tbl>
      <w:tblGrid>
        <w:gridCol w:w="10000" w:type="dxa"/>
      </w:tblGrid>
      <w:tblPr>
        <w:tblStyle w:val="box"/>
      </w:tblPr>
      <w:tr>
        <w:trPr>
          <w:trHeight w:val="100" w:hRule="atLeast"/>
        </w:trPr>
        <w:tc>
          <w:tcPr>
            <w:tcW w:w="10000" w:type="dxa"/>
          </w:tcPr>
          <w:p>
            <w:pPr/>
            <w:r>
              <w:rPr/>
              <w:t xml:space="preserve">Na področju Nevroznanost bi si želeli  povečanje števila MR-jev, ker se samo le-ti lahko v celoti posvečajo raziskovalnemu delu.</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30" w:name="_Toc30"/>
      <w:r>
        <w:t>5.b USPEŠNOST IN UČINKOVITOST ŠTUDIJA: Spremljanje in zagotavljanje kakovosti pedagoškega procesa</w:t>
      </w:r>
      <w:bookmarkEnd w:id="30"/>
    </w:p>
    <w:p>
      <w:pPr>
        <w:sectPr>
          <w:type w:val="continuous"/>
          <w:pgSz w:orient="portrait" w:w="11905.511811023622" w:h="16837.79527559055"/>
          <w:pgMar w:top="1440" w:right="1440" w:bottom="1440" w:left="1440" w:header="720" w:footer="720" w:gutter="0"/>
          <w:cols w:num="1" w:space="720"/>
        </w:sectPr>
      </w:pPr>
    </w:p>
    <w:p/>
    <w:p>
      <w:pPr>
        <w:pStyle w:val="Heading2"/>
      </w:pPr>
      <w:bookmarkStart w:id="31" w:name="_Toc31"/>
      <w:r>
        <w:t>Spremljanje in zagotavljanje kakovosti pedagoškega procesa - Na ravni posameznih predmetov oz. učnih enot</w:t>
      </w:r>
      <w:bookmarkEnd w:id="31"/>
    </w:p>
    <w:p>
      <w:pPr/>
      <w:r>
        <w:rPr/>
        <w:t xml:space="preserve">Kako spremljate in zagotavljate kakovost pedagoškega procesa na ravni posameznih predmetov oz. učnih enot?</w:t>
      </w:r>
    </w:p>
    <w:tbl>
      <w:tblGrid>
        <w:gridCol w:w="10000" w:type="dxa"/>
      </w:tblGrid>
      <w:tblPr>
        <w:tblStyle w:val="box"/>
      </w:tblPr>
      <w:tr>
        <w:trPr>
          <w:trHeight w:val="800" w:hRule="atLeast"/>
        </w:trPr>
        <w:tc>
          <w:tcPr>
            <w:tcW w:w="10000" w:type="dxa"/>
          </w:tcPr>
          <w:p>
            <w:pPr/>
            <w:r>
              <w:rPr/>
              <w:t xml:space="preserve">V študijskem letu 2023/2024 je bila potrjena uvedba novega znanstvenega področja Znanstveni vidiki zdravstvenih strok in pridružitev UL Zdravstvene fakultete k izvajanju programa. Sprememba je začela veljati s študijskim letom 2025/2026. Novo znanstveno področje je pomembno za razvoj zdravstvene stroke na najvišji stopnji izobraževanja ter razvoj obstoječih in novih izobraževalnih programov na področju zdravstvenih in sorodnih ved. Uvedba področja ima ključno vlogo tudi pri razvoju raziskovalnega dela, krepitvi interdisciplinarnosti in sodelovanja v mednarodnem okolju. Na ta način bo diplomantom UL ZF omogočeno nadaljevanje študija na tretji stopnji, saj se je z razvojem zdravstvenega varstva z izrazitim poudarkom na preventivni dejavnosti povečala potreba po najvišje izobraženih strokovnjakih, ki bodo lahko samostojno in kompetentno ustvarjali nova znanja in povezovali dosedanje znanje na vseh področjih zdravstvenih ved.</w:t>
            </w:r>
            <w:br/>
            <w:r>
              <w:rPr/>
              <w:t xml:space="preserve"/>
            </w:r>
            <w:br/>
            <w:r>
              <w:rPr/>
              <w:t xml:space="preserve">Kakovost pedagoškega procesa spremljamo na podlagi študentskih anket, neformalnih povratnih informacij s strani študentov pri posameznih predmetih, uspešnosti opravljenih izpitov, prehodnosti diplomantov ter raziskovalnih in ostalih dosežkov diplomantov. Kakovost pedagoškega procesa zagotavljamo s stalnim prilagajanjem in izboljševanjem predmetnika in vsebin glede na potrebe študentov in bodočih delodajalcev ter glede na pojav novih aktualnih vsebin. V pedagoški proces so vključeni mednarodno priznani domači strokovnjaki. V Prilogi 5 je pregled vseh mednarodnih mobilnosti učiteljev, ki smo jih za namen sodelovanja pri programu Biomedicina, v št. letu 2024/2025 sofinancirali iz sredstev tega programa. Od načrtovanih so bile izvedene vse, razen obiska prof. dr. Eve Žerovnik na Fakulteti za Farmacijo Univerze Tuzla, Bosna in Hercegovina ter obiska prof. dr. Jelene Parojčić na UL FFA.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2" w:name="_Toc32"/>
      <w:r>
        <w:t>Spremljanje in zagotavljanje kakovosti pedagoškega procesa - Medpredmetno povezovanje</w:t>
      </w:r>
      <w:bookmarkEnd w:id="32"/>
    </w:p>
    <w:p>
      <w:pPr/>
      <w:r>
        <w:rPr/>
        <w:t xml:space="preserve">Kako zagotavljate povezovanje med posameznimi predmeti oz. učnimi enotami (medpredmetno povezovanje)?</w:t>
      </w:r>
    </w:p>
    <w:tbl>
      <w:tblGrid>
        <w:gridCol w:w="10000" w:type="dxa"/>
      </w:tblGrid>
      <w:tblPr>
        <w:tblStyle w:val="box"/>
      </w:tblPr>
      <w:tr>
        <w:trPr>
          <w:trHeight w:val="800" w:hRule="atLeast"/>
        </w:trPr>
        <w:tc>
          <w:tcPr>
            <w:tcW w:w="10000" w:type="dxa"/>
          </w:tcPr>
          <w:p>
            <w:pPr/>
            <w:r>
              <w:rPr/>
              <w:t xml:space="preserve">Na programu Biomedicina stremimo k vertikalnemu in horizontalnemu medpredmetnemu povezovanju. Se pa zavedamo, da je na doktorski ravni klasičnega medpredmetnega povezovanja že po naravi študija manj kot na prvih dveh stopnjah. Doktorski program gradi tudi na razvijanju sposobnosti bodočih znanstvenikov za samostojno iskanje analogij in povezav znotraj in med področji. Izvorno medpredmetno povezovanje izhaja iz same zasnove študija, ko študent skupaj z mentorjem in koordinatorjem področja oblikuje individualiziran predmetnik, ki je prilagojen metodološkim in teoretičnim potrebam posamezne doktorske naloge. Temeljni predmeti so večinoma oblikovani modularno s sklopi in znotraj posameznega modula nosilci usklajujejo vsebine.</w:t>
            </w:r>
            <w:br/>
            <w:r>
              <w:rPr/>
              <w:t xml:space="preserve"/>
            </w:r>
            <w:br/>
            <w:r>
              <w:rPr/>
              <w:t xml:space="preserve">O vertikalnem medpredmetnem povezovanju priča organizacija programa tako, da izbirni predmeti v 2. letniku študija vsebinsko nadgrajujejo temeljne predmete, ki se izvajajo v 1. letniku. Poleg učiteljev, ki izvajajo temeljni predmet, so v izbirne predmete vključeni številni drugi vrhunski raziskovalci in različnih institucij. Teoretično znanje je podano v okviru temeljnega predmeta, ki ga lahko študenti v okviru izbirnih predmetov aplicirajo na svojo raziskovalno tematiko, tudi v obliki eksperimentalnega dela v laboratoriju. </w:t>
            </w:r>
            <w:br/>
            <w:r>
              <w:rPr/>
              <w:t xml:space="preserve"/>
            </w:r>
            <w:br/>
            <w:r>
              <w:rPr/>
              <w:t xml:space="preserve">Horizontalno pa so predmetni medsebojno povezani na način, da temeljni predmeti potekajo v obliki treh modulov, kar študentom omogoča pridobitev najnovejših znanj z različnih področij. Pri izvajanju modulov sodelujejo najboljši strokovnjaki na posameznih področjih. Študenti lahko 10 KT od 30 KT temeljnega predmeta izberejo tudi na drugih področjih doktorskega študija. Zelo pogosto pa si katerega od modulov tega področja izberejo tudi študenti iz drugih znanstvenih področij programa Biomedicina ali doktorskih študijev, kar je tudi stalna praksa. Vertikalno in horizontalno povezovanje predmetov študentom omogoča postopno nadgrajevanje znanja od temeljnih konceptov do specializiranih metod. Temeljni predmeti v 1. letniku študentom omogočijo pridobivanje osnov, ki jih v okviru izbirnih predmetov v 2. letniku poglobijo v specifične raziskovalne pristope, saj se znanje na takšen način nadgrajuje.</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3" w:name="_Toc33"/>
      <w:r>
        <w:t>Spremljanje in zagotavljanje kakovosti pedagoškega procesa - Prilagoditev načinov učenja in poučevanja ter preverjanja znanja pričakovanim kompetencam</w:t>
      </w:r>
      <w:bookmarkEnd w:id="33"/>
    </w:p>
    <w:p>
      <w:pPr/>
      <w:r>
        <w:rPr/>
        <w:t xml:space="preserve">Ali načine učenja in poučevanja ter preverjanja znanja prilagajate pričakovanim kompetencam? Če da, kako?</w:t>
      </w:r>
    </w:p>
    <w:p>
      <w:pPr>
        <w:spacing w:after="0"/>
      </w:pPr>
      <w:r>
        <w:rPr>
          <w:sz w:val="16"/>
          <w:szCs w:val="16"/>
          <w:i w:val="1"/>
          <w:iCs w:val="1"/>
        </w:rPr>
        <w:t xml:space="preserve">Polje je bilo izpolnjeno prejšnje leto</w:t>
      </w:r>
    </w:p>
    <w:tbl>
      <w:tblGrid>
        <w:gridCol w:w="10000" w:type="dxa"/>
      </w:tblGrid>
      <w:tblPr>
        <w:tblStyle w:val="box"/>
      </w:tblPr>
      <w:tr>
        <w:trPr>
          <w:trHeight w:val="800" w:hRule="atLeast"/>
        </w:trPr>
        <w:tc>
          <w:tcPr>
            <w:tcW w:w="10000" w:type="dxa"/>
          </w:tcPr>
          <w:p>
            <w:pPr/>
            <w:r>
              <w:rPr/>
              <w:t xml:space="preserve">V skladu s priporočili NAKVIS smo opravili vsakoletni pregled učnih načrtov posameznih predmetov, katerih potrjevanje je v pristojnosti senatov članic. Pri tem smo bili pozorni tudi na ustrezne metodološke pristope poučevanja, ki po Bloomovi taksonomiji ustrezajo doktorski ravni študija.</w:t>
            </w:r>
            <w:br/>
            <w:r>
              <w:rPr/>
              <w:t xml:space="preserve"/>
            </w:r>
            <w:br/>
            <w:r>
              <w:rPr/>
              <w:t xml:space="preserve">Farmacija, Klinična biokemija in laboratorijska biomedicina, Toksikologija in Veterinarska medicina: Posodobili smo neobvezne sestavine učnih enot, zlasti reference nosilcev in literaturo. Pri temeljnih predmetih fleksibilne vsebine prilagajamo interesom študentov, predvsem pri seminarskih nalogah. Pri konzultacijah je prilagajanje še večje, saj se prilagodijo interesom posameznega študenta. Vsebine se vsako leto nadgrajujejo glede na napredek tehnologij in razvoj področja (skrb za aktualnost vsebin, posodabljanje vsebin). Skladno z vsebino učnih načrtov študente vključujemo tudi v predavanja gostujočih raziskovalcev. </w:t>
            </w:r>
            <w:br/>
            <w:r>
              <w:rPr/>
              <w:t xml:space="preserve"/>
            </w:r>
            <w:br/>
            <w:r>
              <w:rPr/>
              <w:t xml:space="preserve">MK, MT, BMB, MM, JZ, Nz: Pri temeljnih predmetih se s temami študentskih seminarjev poskušamo približati zanimanjem študentov, glede na potrebe in aktualne tematike pa tudi vključujemo nove izvajalce in uvajamo nove izbirne predmete. Širok nabor, vključevanje gostujočih predavateljev ter bolj individualna izvedba izbirnih predmetov, omogoča še boljše prilagajanje pričakovanim kompetencam. </w:t>
            </w:r>
            <w:br/>
            <w:r>
              <w:rPr/>
              <w:t xml:space="preserve">Medicina – klinična usmeritev: Pri dveh temeljnih predmetih se s temami poskušamo približati potrebam študentov, da bodo bolj kompetentni pri svojem raziskovalnem delu in močno poudarjamo etiko in integriteto raziskav. Širok nabor, vključevanje gostujočih predavateljev ter bolj individualna izvedba izbirnih predmetov, omogoča še boljše prilagajanje pričakovanim kompetencam. </w:t>
            </w:r>
            <w:br/>
            <w:r>
              <w:rPr/>
              <w:t xml:space="preserve"/>
            </w:r>
            <w:br/>
            <w:r>
              <w:rPr/>
              <w:t xml:space="preserve">Genetika: Poseben poudarek dajemo posodabljanju literature, vključevanju novih metod (npr. CRISPR, enocelično sekvenciranje) in prilagajanju seminarjev ter delavnic interesom študentov. V zadnjem letu smo v okviru izbirnih predmetov povečali fleksibilnost pri izbiri vsebin, kar omogoča študentom bolj prilagojeno in interdisciplinarno študijsko izkušnjo.</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4" w:name="_Toc34"/>
      <w:r>
        <w:t>Spremljanje in zagotavljanje kakovosti pedagoškega procesa - Obremenitev študentov</w:t>
      </w:r>
      <w:bookmarkEnd w:id="34"/>
    </w:p>
    <w:p>
      <w:pPr/>
      <w:r>
        <w:rPr/>
        <w:t xml:space="preserve">Kako spremljate in zagotavljate ustrezno obremenitev študentov glede na ovrednotenje po ECTS*?</w:t>
      </w:r>
    </w:p>
    <w:p>
      <w:pPr/>
      <w:r>
        <w:rPr/>
        <w:t xml:space="preserve">*Če rezultati študentske ankete pri predmetu pokažejo bistveno odstopanje od predvidene obremenitve s KT po ECTS, predlagamo, da dodatno ugotovite ustreznost ovrednotenja predmeta. Pri tem vam je lahko v pomoč naslednji pristop: »</w:t>
      </w:r>
      <w:hyperlink r:id="rId9" w:history="1">
        <w:r>
          <w:rPr/>
          <w:t xml:space="preserve">STUDENT WORKLOAD, TEACHING METHODS AND LEARNING OUTCOMES: THE TUNING APPROACH</w:t>
        </w:r>
      </w:hyperlink>
      <w:r>
        <w:rPr/>
        <w:t xml:space="preserve">«. </w:t>
      </w:r>
    </w:p>
    <w:p>
      <w:pPr/>
      <w:r>
        <w:rPr>
          <w:i w:val="1"/>
          <w:iCs w:val="1"/>
        </w:rPr>
        <w:t xml:space="preserve">Pri interpretaciji rezultatov iz študentskih anket bodite pozorni. Ocene porabe ur so merjene na lestvici 1-5, vendar </w:t>
      </w:r>
      <w:r>
        <w:rPr>
          <w:b w:val="1"/>
          <w:bCs w:val="1"/>
          <w:i w:val="1"/>
          <w:iCs w:val="1"/>
        </w:rPr>
        <w:t xml:space="preserve">optimalna vrednost ni 5.0, ampak 3.0</w:t>
      </w:r>
      <w:r>
        <w:rPr>
          <w:i w:val="1"/>
          <w:iCs w:val="1"/>
        </w:rPr>
        <w:t xml:space="preserve">. Gre za odgovore na vprašanje, ali so študenti (glede na kreditne točke) porabili predvideno število ur, in sicer: (1) veliko manj, (2) nekoliko manj, (3) predvideno, (4) nekoliko več, (5) veliko več.</w:t>
      </w:r>
    </w:p>
    <w:p>
      <w:pPr>
        <w:spacing w:after="0"/>
      </w:pPr>
      <w:r>
        <w:rPr>
          <w:sz w:val="16"/>
          <w:szCs w:val="16"/>
          <w:i w:val="1"/>
          <w:iCs w:val="1"/>
        </w:rPr>
        <w:t xml:space="preserve">Polje je bilo izpolnjeno prejšnje leto</w:t>
      </w:r>
    </w:p>
    <w:tbl>
      <w:tblGrid>
        <w:gridCol w:w="10000" w:type="dxa"/>
      </w:tblGrid>
      <w:tblPr>
        <w:tblStyle w:val="box"/>
      </w:tblPr>
      <w:tr>
        <w:trPr>
          <w:trHeight w:val="800" w:hRule="atLeast"/>
        </w:trPr>
        <w:tc>
          <w:tcPr>
            <w:tcW w:w="10000" w:type="dxa"/>
          </w:tcPr>
          <w:p>
            <w:pPr/>
            <w:r>
              <w:rPr/>
              <w:t xml:space="preserve">Ocenjevanje vloženega dela študenta je na doktorski ravni kompleksno, saj je večina študija sestavljena iz samostojnega raziskovalnega dela. Le manjši del je vezan na predmete v obliki kontaktnih ur, pa še tam je velik del individualnih konzultacij. Zato skozi ankete zaznavamo velike razpone pri ocenah študentov glede vloženega dela za sam študij in za raziskovalno delo. Večinoma pa študenti obremenitve pri posameznih predmetih ocenjujejo kot ustrezne.</w:t>
            </w:r>
            <w:br/>
            <w:r>
              <w:rPr/>
              <w:t xml:space="preserve"/>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5" w:name="_Toc35"/>
      <w:r>
        <w:t>Spremljanje in zagotavljanje kakovosti pedagoškega procesa - Na študenta osredinjeno učenje in poučevanje</w:t>
      </w:r>
      <w:bookmarkEnd w:id="35"/>
    </w:p>
    <w:p>
      <w:pPr/>
      <w:r>
        <w:rPr/>
        <w:t xml:space="preserve">Ali spodbujate na študenta osredinjeno učenje in poučevanje*? Če da, kako? </w:t>
      </w:r>
    </w:p>
    <w:p>
      <w:pPr/>
      <w:r>
        <w:rPr/>
        <w:t xml:space="preserve">*Z</w:t>
      </w:r>
      <w:r>
        <w:rPr>
          <w:i w:val="1"/>
          <w:iCs w:val="1"/>
        </w:rPr>
        <w:t xml:space="preserve">a opredelitev pojma glejte točko 1.3 v </w:t>
      </w:r>
      <w:hyperlink r:id="rId10" w:history="1">
        <w:r>
          <w:rPr/>
          <w:t xml:space="preserve">dokumentu</w:t>
        </w:r>
      </w:hyperlink>
      <w:r>
        <w:rPr>
          <w:i w:val="1"/>
          <w:iCs w:val="1"/>
        </w:rPr>
        <w:t xml:space="preserve"> 1 ali </w:t>
      </w:r>
      <w:hyperlink r:id="rId11" w:history="1">
        <w:r>
          <w:rPr/>
          <w:t xml:space="preserve">dokument</w:t>
        </w:r>
      </w:hyperlink>
      <w:r>
        <w:rPr>
          <w:i w:val="1"/>
          <w:iCs w:val="1"/>
        </w:rPr>
        <w:t xml:space="preserve"> 2.</w:t>
      </w:r>
    </w:p>
    <w:tbl>
      <w:tblGrid>
        <w:gridCol w:w="10000" w:type="dxa"/>
      </w:tblGrid>
      <w:tblPr>
        <w:tblStyle w:val="box"/>
      </w:tblPr>
      <w:tr>
        <w:trPr>
          <w:trHeight w:val="800" w:hRule="atLeast"/>
        </w:trPr>
        <w:tc>
          <w:tcPr>
            <w:tcW w:w="10000" w:type="dxa"/>
          </w:tcPr>
          <w:p>
            <w:pPr/>
            <w:r>
              <w:rPr/>
              <w:t xml:space="preserve">Doktorski študij je v osnovi osredinjen na študenta, saj je tri četrtine študija namenjenega raziskovalnemu delu, ki je skozi prijavo teme oblikovan individualno. Prav tako so predmetniki individualizirani in prilagojeni znanjem, ki jih študenti potrebujejo za pripravo in izdelavo doktorske disertacije.  Doktorski študij ni masoven, kar se pokaže v sorazmerno majhnih številkah študentov na posameznih modulih/sklopih in še bolj na izbirnih predmetih. Tako so pristopi vedno usmerjeni na posameznika, dodatno pa to spodbujamo pri izbiri tem za seminarje in v razpravah. Nekaj specifičnih značilnosti je v nadaljevanju:</w:t>
            </w:r>
            <w:br/>
            <w:r>
              <w:rPr/>
              <w:t xml:space="preserve"/>
            </w:r>
            <w:br/>
            <w:r>
              <w:rPr/>
              <w:t xml:space="preserve">Veterinarska medicina, Farmacija, Klinična biokemija in laboratorijska biomedicina, Toksikologija: Vključujemo različne pristope, kot so spodbujanje diskusije, izmenjava mnenj, kvizi, priprava preglednih člankov, vezanih na dispozicijo doktorske disertacije posameznega študenta. Glede na različno predznanje posameznih študentov se prilagodimo in študentom omogočimo ustrezno dograditev znanj. </w:t>
            </w:r>
            <w:br/>
            <w:r>
              <w:rPr/>
              <w:t xml:space="preserve"/>
            </w:r>
            <w:br/>
            <w:r>
              <w:rPr/>
              <w:t xml:space="preserve">Biokemija in molekularna biologija, Medicina-klinična usmeritev, Medicinska mikrobiologija, Nevroznanost: učenje in poučevanje je osredotočeno na posameznega študenta že v okviru obveznih oblik poučevanja. Tako imajo študenti že pri temeljnih predmetih možnost izbire seminarjev glede na potrebe svojega raziskovalnega dela. Še bolj so na študenta osredotočeni izbirni predmeti, pri čemer se večina študentov raje kot za teoretične izbirne predmete odloči za individualne raziskovalne izbirne predmete, v okviru katerih se lahko seznanijo z uporabe tehnik, metod in opreme, ki jih bodo lahko s pridom uporabili pri raziskovalnem delu za disertacijo. Pouk se večinoma tudi izvaja v manjših skupinah, kar še olajša in spodbuja osredinjeno učenje in poučevanje. V primeru tujih študentov prilagodimo jezik izvajanja in morebitnih izpitov na angleščino. </w:t>
            </w:r>
            <w:br/>
            <w:r>
              <w:rPr/>
              <w:t xml:space="preserve"/>
            </w:r>
            <w:br/>
            <w:r>
              <w:rPr/>
              <w:t xml:space="preserve">Na področju Medicina – temeljna usmeritev: na študenta osredinjeno učenje in poučevanje zagotavljajo tako, da pred začetkom izvajanja pouka v 1. letniku izvedejo intervju s posameznim študentom, med katerim študent pove, kaj je predvidena tema doktorata, na kateri ustanovi bo delo potekalo, kdo je mentor in katere raziskovalne metode so predvidene. Na tej osnovi so pri temeljnem predmetu izbrane teme predavanj in seminarji.</w:t>
            </w:r>
            <w:br/>
            <w:r>
              <w:rPr/>
              <w:t xml:space="preserve"/>
            </w:r>
            <w:br/>
            <w:r>
              <w:rPr/>
              <w:t xml:space="preserve">Na znanstvenem področju Javno zdravje se na posameznega študenta osredotočeno poučevanje izvaja od samega začetka, saj se ob pridobivanju raziskovalnih kompetenc skupaj s študentom razvija tema za disertacijo.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6" w:name="_Toc36"/>
      <w:r>
        <w:t>Ocena oz. vrednotenje</w:t>
      </w:r>
      <w:bookmarkEnd w:id="36"/>
    </w:p>
    <w:p>
      <w:pPr/>
      <w:r>
        <w:rPr/>
        <w:t xml:space="preserve">Ocenite učinke zgoraj navedenih elementov/aktivnosti na kakovost ŠP. </w:t>
      </w:r>
    </w:p>
    <w:p>
      <w:pPr/>
      <w:r>
        <w:rPr/>
        <w:t xml:space="preserve">Oceno, če je le mogoče, podprite (npr. z navedbo učinka, z ugotovitvami, povratnimi informacijami, primeri uspešnega vpeljevanja aktivnosti). </w:t>
      </w:r>
    </w:p>
    <w:tbl>
      <w:tblGrid>
        <w:gridCol w:w="10000" w:type="dxa"/>
      </w:tblGrid>
      <w:tblPr>
        <w:tblStyle w:val="box"/>
      </w:tblPr>
      <w:tr>
        <w:trPr>
          <w:trHeight w:val="800" w:hRule="atLeast"/>
        </w:trPr>
        <w:tc>
          <w:tcPr>
            <w:tcW w:w="10000" w:type="dxa"/>
          </w:tcPr>
          <w:p>
            <w:pPr/>
            <w:r>
              <w:rPr/>
              <w:t xml:space="preserve">Kakovost pedagoškega procesa v 1. letniku zagotavljamo na ravni posameznih modulov. Še posebej se pri izbirnih teoretičnih in individualnih raziskovalnih predmetih osredotočamo na študenta, na osredinjeno učenje na nivoju seminarskih nalog, diskusij ter problemskega učenja. Bistven del je prilagajanje načina poučevanja pričakovanim kompetencam. Učitelji predvsem v posameznih sklopih znotraj področij zagotavljajo povezljivost in medpredmetno povezovanje. Še posebej omogočimo študentom, da v okviru posameznih modulov in izbirnih predmetov dodatno raziščejo problematiko, ki se navezuje na njihove dispozicije doktorskih nalog. V diskusiji in problemskih nalogah se navezujemo na tematike, ki jih študenti obravnavajo v okviru raziskovalnega dela. Na področju Farmacija smo v doktorski program uspešno uvedli projekt Razvoj kadrov skupaj s podjetjem Lek (Sandoz in Novartis), znotraj katerega je poudarjen pomen razvoja kompetenc. Preko 90% doktorandov tega projekta se je po zaključku zaposlilo pri financerju projekta, kar kaže tudi na ustreznost pridobljenih kompetenc za konkretno delovno okolje. </w:t>
            </w:r>
            <w:br/>
            <w:r>
              <w:rPr/>
              <w:t xml:space="preserve">Kakovost pedagoškega procesa zagotavljamo tudi s sodobno opremo, ki omogoča dobre pogoje za raziskovalno delo ter s sprotnim vključevanjem novih vsebin in posodabljanjem učnih načrtov. Poleg tega poskušamo vsebine prilagajati študentovim raziskovalnim temam, vključevanjem vabljenih predavateljev in dodatni ponudbi v obliki delavnic kot npr. uporabe genomskega brskalnika ENSEMBL, ki je sofinancirana iz sredstev in razpisa mednarodne dejavnosti Biomedicina. Z izbirnimi predmeti v 2. letniku in predstavitvami, vezanimi na dispozicijo doktorske disertacije in rezultatov raziskovanega dela, pa je poudarek na raziskovalnem delu in izdelavi doktorske disertacije. </w:t>
            </w:r>
            <w:br/>
            <w:r>
              <w:rPr/>
              <w:t xml:space="preserve"/>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37" w:name="_Toc37"/>
      <w:r>
        <w:t>Priložnosti za izboljšave</w:t>
      </w:r>
      <w:bookmarkEnd w:id="37"/>
    </w:p>
    <w:p>
      <w:pPr/>
      <w:r>
        <w:rPr/>
        <w:t xml:space="preserve">Kje vidite priložnosti za izboljšave oz. na kakšen način menite, da bi bilo smiselno naslavljati izzive ŠP z vidika SPREMLJANJA IN ZAGOTAVLJANJA KAKOVOSTI PEDAGOŠKEGA PROCESA?</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MF: Medicina – klinična usmeritev, Medicina – temeljna usmeritev, Biokemija in molekularna biologija, Medicinska mikrobiologija, Nevroznanost: uporaba IKT učnih orodij za spodbujanje sodelovanja študentov in za sprotno preverjanje osvojenega znanja, kar bo dodatno izboljšalo osredinjeno učenje in poučevanje in s tem kvaliteto študijskega programa.</w:t>
            </w:r>
          </w:p>
        </w:tc>
      </w:tr>
    </w:tbl>
    <w:tbl>
      <w:tblGrid>
        <w:gridCol w:w="10000" w:type="dxa"/>
      </w:tblGrid>
      <w:tblPr>
        <w:tblStyle w:val="box"/>
      </w:tblPr>
      <w:tr>
        <w:trPr>
          <w:trHeight w:val="100" w:hRule="atLeast"/>
        </w:trPr>
        <w:tc>
          <w:tcPr>
            <w:tcW w:w="10000" w:type="dxa"/>
          </w:tcPr>
          <w:p>
            <w:pPr/>
            <w:r>
              <w:rPr/>
              <w:t xml:space="preserve">MF Nevroznanost: formalizacija letnih srečanj mentorjev in študentov za spremljanje napredka in izmenjavo dobrih praks</w:t>
            </w:r>
          </w:p>
        </w:tc>
      </w:tr>
    </w:tbl>
    <w:tbl>
      <w:tblGrid>
        <w:gridCol w:w="10000" w:type="dxa"/>
      </w:tblGrid>
      <w:tblPr>
        <w:tblStyle w:val="box"/>
      </w:tblPr>
      <w:tr>
        <w:trPr>
          <w:trHeight w:val="100" w:hRule="atLeast"/>
        </w:trPr>
        <w:tc>
          <w:tcPr>
            <w:tcW w:w="10000" w:type="dxa"/>
          </w:tcPr>
          <w:p>
            <w:pPr/>
            <w:r>
              <w:rPr/>
              <w:t xml:space="preserve">MF Nevroznanost: sistematično spremljanje kariere diplomantov (zaposljivost, raziskovalna pot)</w:t>
            </w:r>
          </w:p>
        </w:tc>
      </w:tr>
    </w:tbl>
    <w:tbl>
      <w:tblGrid>
        <w:gridCol w:w="10000" w:type="dxa"/>
      </w:tblGrid>
      <w:tblPr>
        <w:tblStyle w:val="box"/>
      </w:tblPr>
      <w:tr>
        <w:trPr>
          <w:trHeight w:val="100" w:hRule="atLeast"/>
        </w:trPr>
        <w:tc>
          <w:tcPr>
            <w:tcW w:w="10000" w:type="dxa"/>
          </w:tcPr>
          <w:p>
            <w:pPr/>
            <w:r>
              <w:rPr/>
              <w:t xml:space="preserve">MF Javno zdravje: Priložnost za še nadaljnje izboljševanje spremljanja in zagotavljanja kakovosti pedagoškega procesa na področju Javno zdravje, ki je kratkoročno izvedljiva, je vpeljava pogovora s študenti na koncu prvega letnika študija.</w:t>
            </w:r>
          </w:p>
        </w:tc>
      </w:tr>
    </w:tbl>
    <w:tbl>
      <w:tblGrid>
        <w:gridCol w:w="10000" w:type="dxa"/>
      </w:tblGrid>
      <w:tblPr>
        <w:tblStyle w:val="box"/>
      </w:tblPr>
      <w:tr>
        <w:trPr>
          <w:trHeight w:val="100" w:hRule="atLeast"/>
        </w:trPr>
        <w:tc>
          <w:tcPr>
            <w:tcW w:w="10000" w:type="dxa"/>
          </w:tcPr>
          <w:p>
            <w:pPr/>
            <w:r>
              <w:rPr/>
              <w:t xml:space="preserve">VF:</w:t>
            </w:r>
            <w:br/>
            <w:r>
              <w:rPr/>
              <w:t xml:space="preserve">Rezultati ankete na VF v prvem in drugem letniku kažejo na nizko zadovoljstvo glede možnosti raziskovalnega dela  v  tujini, sodelovanja z raziskovalci ter udeležbe na mednarodnih srečanjih.</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38" w:name="_Toc38"/>
      <w:r>
        <w:t>5.c USPEŠNOST IN UČINKOVITOST ŠTUDIJA: Podpora za internacionalizacijo študija</w:t>
      </w:r>
      <w:bookmarkEnd w:id="38"/>
    </w:p>
    <w:p>
      <w:pPr>
        <w:sectPr>
          <w:type w:val="continuous"/>
          <w:pgSz w:orient="portrait" w:w="11905.511811023622" w:h="16837.79527559055"/>
          <w:pgMar w:top="1440" w:right="1440" w:bottom="1440" w:left="1440" w:header="720" w:footer="720" w:gutter="0"/>
          <w:cols w:num="1" w:space="720"/>
        </w:sectPr>
      </w:pPr>
    </w:p>
    <w:p/>
    <w:p>
      <w:pPr>
        <w:pStyle w:val="Heading2"/>
      </w:pPr>
      <w:bookmarkStart w:id="39" w:name="_Toc39"/>
      <w:r>
        <w:t>Podpora za internacionalizacijo študija - Domači študenti</w:t>
      </w:r>
      <w:bookmarkEnd w:id="39"/>
    </w:p>
    <w:p>
      <w:pPr/>
      <w:r>
        <w:rPr/>
        <w:t xml:space="preserve">Kako spodbujate domače študente ŠP za vključevanje in njihovo delovanje v mednarodnem prostoru (vključite tudi vidike internacionalizacije doma*)?</w:t>
      </w:r>
    </w:p>
    <w:p>
      <w:pPr/>
      <w:r>
        <w:rPr/>
        <w:t xml:space="preserve">* </w:t>
      </w:r>
      <w:r>
        <w:rPr>
          <w:i w:val="1"/>
          <w:iCs w:val="1"/>
        </w:rPr>
        <w:t xml:space="preserve">Za opredelitev pojma glejte </w:t>
      </w:r>
      <w:hyperlink r:id="rId12" w:history="1">
        <w:r>
          <w:rPr/>
          <w:t xml:space="preserve">dokument</w:t>
        </w:r>
      </w:hyperlink>
      <w:r>
        <w:rPr>
          <w:i w:val="1"/>
          <w:iCs w:val="1"/>
        </w:rPr>
        <w:t xml:space="preserve">.</w:t>
      </w:r>
    </w:p>
    <w:tbl>
      <w:tblGrid>
        <w:gridCol w:w="10000" w:type="dxa"/>
      </w:tblGrid>
      <w:tblPr>
        <w:tblStyle w:val="box"/>
      </w:tblPr>
      <w:tr>
        <w:trPr>
          <w:trHeight w:val="800" w:hRule="atLeast"/>
        </w:trPr>
        <w:tc>
          <w:tcPr>
            <w:tcW w:w="10000" w:type="dxa"/>
          </w:tcPr>
          <w:p>
            <w:pPr/>
            <w:r>
              <w:rPr/>
              <w:t xml:space="preserve">Internacionalizacija študija je podprta z več sistemskimi pristopi: </w:t>
            </w:r>
            <w:br/>
            <w:r>
              <w:rPr/>
              <w:t xml:space="preserve">a/ učitelji in mentorji so večinoma mednarodno vpeti v raziskovalne projekte in mreže in preko tega prenašajo izkušnje iz sveta v program Biomedicina.</w:t>
            </w:r>
            <w:br/>
            <w:r>
              <w:rPr/>
              <w:t xml:space="preserve">b/ Literatura za študij predmetov je neomejena v mednarodnem prostoru – najsi bodo nekateri učbeniki, predvsem pa aktualni raziskovalni in pregledni članki. Knjižnice po članicah UL, Centralna tehnična knjižnica, številne mednarodne baze podatkov omogočajo študentom tekoč dostop do mednarodnih virov.</w:t>
            </w:r>
            <w:br/>
            <w:r>
              <w:rPr/>
              <w:t xml:space="preserve">c/ Znotraj študija se spodbuja predstavljanje svojih rezultatov na mednarodnih srečanjih posameznega ožjega področja.</w:t>
            </w:r>
            <w:br/>
            <w:r>
              <w:rPr/>
              <w:t xml:space="preserve">d/ V študij so vpisani in vključeni tudi tuji študenti, ki sodelujejo v aktivnostih, kar pomeni, da se v okolje programa prenašajo ne samo strokovni, temveč tudi kulturni vidiki internacionalizacije.</w:t>
            </w:r>
            <w:br/>
            <w:r>
              <w:rPr/>
              <w:t xml:space="preserve">e/ Tudi študentom na doktorskem študiju so na voljo izmenjave v mednarodnih programih izmenjav (Erasmus+, CEEPUS) in skozi bilateralne pogodbe. Tovrstne pogodbe sklepajo fakultete, ki koordinirajo posamezna znanstvena področja programa, zato so specifični vidiki v nadaljevanju navedeni po članicah:</w:t>
            </w:r>
            <w:br/>
            <w:r>
              <w:rPr/>
              <w:t xml:space="preserve">Na Veterinarski fakulteti imajo doktorski študenti možnost usposabljanja in izobraževanja v tujini prek različnih mednarodnih programov izmenjav (Erasmus+, CEEPUS poletne šole, štipendije tujih držav in institucij – ZDA, Nemčija, Avstrija, Francija, Kitajska idr.). O vsem so obveščeni s strani Pisarne za raziskovanje in mednarodno sodelovanje VF, ki nudi zainteresiranim tudi dodatne konzultacije. Skladno s cilji internacionalizacije izvajamo tudi promocijo vključevanja študentov v mednarodno okolje v okviru različnih dogodkov: posvet, okrogla miza, stojnice, predstavitve izkušenj, objave na spletnih straneh VF in profilu Facebook. Veterinarska fakulteta je za programsko obdobje Erasmus+ 2021–2027, v skladu s sklepi Senata VF, omejila nabor sklenjenih medinstitucionalnih sporazumov s tujimi visokošolskimi institucijami. Za programsko obdobje 2021-2027 je VF podpisala več krovnih sporazumov (t.i. Inter-institucionalni sporazum) v okviru katerih so dogovorjene izmenjave za namen usposabljanja doktorskih študentov. Do tega trenutka smo sklenili osem sporazumov z institucijami iz osmih različnih držav članic Evropske Unije, s katerimi bomo izmenjevali mobilnosti za namen študija in praktičnega usposabljanja študentov ter mobilnosti zaposlenih (STA(T) in STT). Izbrane tuje visokošolske institucije so EAEVE akreditirane. S tremi institucijami, Severna Makedonija (Skopje), Srbija (Beograd) in Španija (Barcelona), smo sklenili sporazume le za namen opravljanja usposabljanja študentov in izmenjave zaposlenih (STA/T) in STT). Spodbujamo tudi koriščenje Erasmus+ razpisov izven EU. </w:t>
            </w:r>
            <w:br/>
            <w:r>
              <w:rPr/>
              <w:t xml:space="preserve">Nadalje si prizadevamo širiti nabor tujih visokošolskih institucij in zasebnih organizacij (npr. veterinarskih klinik), s katerimi povezujemo študente VF, za izvajanje svojih mobilnost za namen usposabljanja. V sklopu CEEPUS mreže VetNEST (Veterinary Network for Student and Staff Transfer), v Central European Exchange Program for University Studies – CEEPUS programu mobilnosti – nadaljujemo tesnejšo povezanost s še enajstimi tujimi institucijami Evropske unije in Balkana. V razpisih so študenti VF zasedli vsa prosta mesta, kar nakazuje na kakovost delovanja mreže in dobro sodelovanje držav članic mreže pri usklajevanju izmenjav. Nekaj sporazumov je še v dogovarjanju, kar pomeni, da se letno dodajajo nove priložnosti. </w:t>
            </w:r>
            <w:br/>
            <w:r>
              <w:rPr/>
              <w:t xml:space="preserve"/>
            </w:r>
            <w:br/>
            <w:r>
              <w:rPr/>
              <w:t xml:space="preserve">Na Fakulteti za farmacijo smo bili do zdaj bolj osredotočeni na internacionalizacijo izobraževanja v smislu kvantitativnih podatkov, pri čemer pa ni nujno, da so v internacionalizacijo vključeni vsi študenti. Sicer pa izvajamo internacionalizacijo na več ravneh – v osnovi že preko vpetosti v mednarodne projekte preko mentorjev, literature in gostujočih predavateljev. O vseh tujih gostujočih predavateljih obveščamo vse doktorske študente, tudi če predavanje ni organizirano znotraj Biomedicine. Tako jim damo možnost, da se doma srečajo s tujimi strokovnjaki in se soočijo z mednarodnimi razsežnostmi raziskovalne problematike (npr. obisk in predavanje Nobelovega nagrajenca Sir Gregoryja Winterja septembra 2024).  Študenti so zelo aktivni in sodelujejo na mednarodnih delavnicah, pogosto so udeleženi v izmenjavah na gostujočih fakultetah v okviru mednarodnih in bilateralnih projektov, aktivno so udeleženi v predstavitve na konferencah doma in v tujini. Spodbujamo tudi udeležbo na mednarodnih srečanjih, delavnicah in minisimpozijih, ki jih organiziramo na fakulteti (npr. Minisimpozij na temo novih pristopov za obvladovanje bakterijske rezistence maja 2024). Študenti sodelujejo s svojim raziskovalnim delom na različnih mednarodnih projektih, na katerih sodelujejo njihovi mentorji/somentorji. Prav tako jih spodbujamo k predstavitvi njihovega dela na različnih konferencah, simpozijih. V okviru razpoložljivih sredstev, ki jih pridobi mentor ali pa študent sam, odhajajo na krajše delo v laboratorije tujih predavateljev in s tem pridobivajo kompetence tako na strokovnem področju, kot tudi delovanja v kulturno različnih okoljih. Predvsem to velja za mlade raziskovalce, študenti, ki so že zaposleni v industriji ali v drugih inštitucijah, pa imajo takšnih možnosti manj, saj so vezani na svoje službene obveznosti.</w:t>
            </w:r>
            <w:br/>
            <w:r>
              <w:rPr/>
              <w:t xml:space="preserve">Aktivni smo pri na študenta osredotočenih pristopih učenja. Imamo cilj, da študenti dobijo ustrezne medkulturne kompetence, spretnosti in znanje, zavedanje in zavzemanje za pozitivno povezovanje s kulturami drugih ljudi ter sposobnost za lokalno in globalno razmišljanje. </w:t>
            </w:r>
            <w:br/>
            <w:r>
              <w:rPr/>
              <w:t xml:space="preserve">V prihodnosti moramo še bolj vključiti medkulturno kompetentnost za vse študente in jim nuditi možnost za uspešno delovanje v medkulturnem, mednarodnem in globalnem okolju doma in v tujini. Internacionalizirane učne izide bomo morali vključiti v formalni učni program in s tem dvigniti kakovost ter prepoznavnost v tujini. Študente je treba bolj sistematično seznaniti in jih ustrezno usmerjati ter spodbujati za pridobivanje štipendij, ki bi jim omogočile večje povezovanje z raziskovalnimi skupinami v tujini, saj je videti, da vseh možnosti ne poznajo, oziroma se jih ne zavedajo. Seveda pa obstaja ob tem tudi tveganje, da doktorji znanosti na tak način ostanejo v tujini in ne vračajo znanja v Slovenijo.</w:t>
            </w:r>
            <w:br/>
            <w:r>
              <w:rPr/>
              <w:t xml:space="preserve"/>
            </w:r>
            <w:br/>
            <w:r>
              <w:rPr/>
              <w:t xml:space="preserve">Na Medicinski fakulteti študente spodbujamo k internacionalizaciji na dva načina: preko organiziranega pouka in preko njihovega raziskovalnega dela v okviru raziskovalne skupine mentorja. Na področju Biokemija in molekularna biologija v izvajanje temeljnega predmeta vključujemo tuje vrhunske strokovnjake; npr. v okviru predavanj pri Modulu 1 kot predavateljica redno sodeluje prof. Pasamonti iz Univerze v Trstu, del pouka pri Modulu 3 pa poteka v obliki delavnice, ki jo vodijo vabljeni predavatelji iz European Bioinformatics Institute (EMBL-EBI). Tuji predavatelji se občasno vključujejo tudi v izvajanje izbirnih predmetov, pogosto pa kot del oz. nadgradnjo izbirnih predmetov organiziramo tudi delavnice ali srečanja z mednarodnimi predavatelji, kot npr. letno srečanje European network for individualised treatment of endometrial cancer, letno srečanje Slovenske mreže za zunajcelične vezikle SiN-EV in vsakoletni simpozij Centra za funkcionalno genomiko in biočipe. Študentje na omenjenih srečanjih v angleškem jeziku predstavljajo svoje raziskovalno delo v obliki predavanj in plakatov, kar omogoča mreženje z vrhunskimi tujimi strokovnjaki. Trudimo se tudi z vključevanjem tujih ekspertov v doktorske komisije.</w:t>
            </w:r>
            <w:br/>
            <w:r>
              <w:rPr/>
              <w:t xml:space="preserve">Po drugi strani mentorji in njihove raziskovalne organizacije spodbujajo študente k sodelovanju v mednarodnih raziskavah in projektih, kar se odraža tudi na mednarodnem soavtorstvu pri objavah v okviru doktorskih nalog. Študente tudi spodbujamo k udejstvovanju na mednarodnih srečanjih in delavnicah, predstavitvi svojega dela in sodelovanju v mednarodnih strokovnih društvih. Veliko študentov tudi opravlja del doktorskega raziskovalnega dela v tujini, pogosto s finančno pomočjo domače raziskovalne organizacije ali s pridobitvijo štipendije. Na področjih Medicina – klinična smer in Biokemija in molekularna biologija sodelujemo v Evropskem projektu (Alliance4life), ki povezuje nekatere najpomembnejše vzhodnoevropske univerze. Eden od cilje projekta je izboljšati kvaliteto doktoratov, delo mentorjev in delo doktorskih komisij s sestavo mednarodnih komisij za spremljanje kandidatov. Oblikovali smo bil seznam potencialnih mentorjev in kandidatov za komisije iz UL MF, tako da v nove komisije za spremljanje doktorskih študentov že vključujemo člane iz drugih evropskih univerz. Tudi na področjih Javno zdravje in Medicinska mikrobiologija se trudimo, da vključujemo po eni strani mentorje ali somentorje za izdelavo disertacije iz tujine, po drugi strani pa da praviloma vključujemo tuje strokovnjake tudi v doktorske komisije. Poleg tega so študentje, ki so zaposleni npr. na Nacionalnem inštitutu za javno zdravje vpeti v številne mednarodne projekte, ki potekajo na tej instituciji.</w:t>
            </w:r>
            <w:br/>
            <w:r>
              <w:rPr/>
              <w:t xml:space="preserve"/>
            </w:r>
            <w:br/>
            <w:r>
              <w:rPr/>
              <w:t xml:space="preserve">Na Biotehniški fakulteti spodbujamo vključevanje domačih študentov v mednarodno akademsko okolje s sodelovanjem pri raziskovalnih projektih, izmenjavami v okviru programov Erasmus+ in bilateralnih dogovorov ter obiskovanjem mednarodnih poletnih šol in konferenc. Internacionalizacijo doma izvajamo z vpeljavo mednarodnih vsebin v učne načrte, vključevanjem tuje literature, povabili gostujočih predavateljev in delavnic (recimo ENSEMBL) iz uglednih tujih institucij. To omogoča tudi tistim študentom, ki ne gredo v tujino, stik z globalnimi trendi in različnimi raziskovalnimi pristopi.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0" w:name="_Toc40"/>
      <w:r>
        <w:t>Podpora za internacionalizacijo študija - Tuji študenti</w:t>
      </w:r>
      <w:bookmarkEnd w:id="40"/>
    </w:p>
    <w:p>
      <w:pPr/>
      <w:r>
        <w:rPr/>
        <w:t xml:space="preserve">Kako vključujete tuje študente v ŠP?Opišite vidike vključevanja tako študentov na programih mobilnosti (Erasmus) kot tujih študentov, ki so vpisani v ŠP.</w:t>
      </w:r>
    </w:p>
    <w:p/>
    <w:tbl>
      <w:tblGrid>
        <w:gridCol/>
      </w:tblGrid>
      <w:tblPr>
        <w:tblW w:w="5000" w:type="pct"/>
        <w:tblLayout w:type="autofit"/>
        <w:bidiVisual w:val="0"/>
      </w:tblPr>
      <w:tr>
        <w:trPr>
          <w:cantSplit w:val="1"/>
        </w:trPr>
        <w:tc>
          <w:tcPr/>
          <w:p>
            <w:pPr>
              <w:jc w:val="center"/>
            </w:pPr>
            <w:r>
              <w:rPr>
                <w:sz w:val="20"/>
                <w:szCs w:val="20"/>
                <w:b w:val="1"/>
                <w:bCs w:val="1"/>
              </w:rPr>
              <w:t xml:space="preserve">Tabela 4: Število vpisanih mednarodnih študentov v letnik po letih in načinu študija ter delež tujih študentov od vseh vpisanih</w:t>
            </w:r>
          </w:p>
          <w:tbl>
            <w:tblGrid>
              <w:gridCol/>
              <w:gridCol/>
              <w:gridCol/>
              <w:gridCol/>
              <w:gridCol/>
              <w:gridCol/>
              <w:gridCol/>
            </w:tblGrid>
            <w:tblPr>
              <w:tblW w:w="5000" w:type="pct"/>
              <w:tblLayout w:type="autofit"/>
              <w:bidiVisual w:val="0"/>
            </w:tblPr>
            <w:tr>
              <w:trPr/>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Način študija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Letnik</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2020/2021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2021/2022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2022/2023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2023/2024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1"/>
                      <w:bCs w:val="1"/>
                    </w:rPr>
                    <w:t xml:space="preserve">2024/2025</w:t>
                  </w:r>
                </w:p>
              </w:tc>
            </w:tr>
            <w:tr>
              <w:trPr/>
              <w:tc>
                <w:tcPr>
                  <w:vAlign w:val="center"/>
                  <w:tcBorders>
                    <w:top w:val="single" w:sz="6" w:color="000000"/>
                    <w:left w:val="single" w:sz="6" w:color="ffffff"/>
                    <w:right w:val="single" w:sz="6" w:color="ffffff"/>
                    <w:bottom w:val="single" w:sz="6" w:color="000000"/>
                  </w:tcBorders>
                  <w:vMerge w:val="restart"/>
                </w:tcPr>
                <w:p>
                  <w:pPr>
                    <w:jc w:val="center"/>
                    <w:spacing w:before="30" w:after="30"/>
                  </w:pPr>
                  <w:r>
                    <w:rPr>
                      <w:sz w:val="18"/>
                      <w:szCs w:val="18"/>
                      <w:b w:val="0"/>
                      <w:bCs w:val="0"/>
                    </w:rPr>
                    <w:t xml:space="preserve">IZREDNI</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16</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26</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20</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14</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4</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0A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8</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2</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3</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3</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Vsota</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45</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40</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48</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57</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73</w:t>
                  </w:r>
                </w:p>
              </w:tc>
            </w:tr>
            <w:tr>
              <w:trPr/>
              <w:tc>
                <w:tcPr>
                  <w:vAlign w:val="center"/>
                  <w:tcBorders>
                    <w:top w:val="single" w:sz="6" w:color="000000"/>
                    <w:left w:val="single" w:sz="6" w:color="ffffff"/>
                    <w:right w:val="single" w:sz="6" w:color="ffffff"/>
                    <w:bottom w:val="single" w:sz="6" w:color="000000"/>
                  </w:tcBorders>
                  <w:vMerge w:val="continue"/>
                </w:tcP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Delež</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7,6 %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6,6 %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8,0 %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9,1 %</w:t>
                  </w:r>
                </w:p>
              </w:tc>
              <w:tc>
                <w:tcPr>
                  <w:vAlign w:val="center"/>
                  <w:tcBorders>
                    <w:top w:val="single" w:sz="6" w:color="000000"/>
                    <w:left w:val="single" w:sz="6" w:color="ffffff"/>
                    <w:right w:val="single" w:sz="6" w:color="ffffff"/>
                    <w:bottom w:val="single" w:sz="6" w:color="000000"/>
                  </w:tcBorders>
                </w:tcPr>
                <w:p>
                  <w:pPr>
                    <w:jc w:val="center"/>
                    <w:spacing w:before="30" w:after="30"/>
                  </w:pPr>
                  <w:r>
                    <w:rPr>
                      <w:sz w:val="18"/>
                      <w:szCs w:val="18"/>
                      <w:b w:val="0"/>
                      <w:bCs w:val="0"/>
                    </w:rPr>
                    <w:t xml:space="preserve">10,8 %</w:t>
                  </w:r>
                </w:p>
              </w:tc>
            </w:tr>
          </w:tbl>
          <w:p/>
        </w:tc>
      </w:tr>
    </w:tbl>
    <w:p/>
    <w:tbl>
      <w:tblGrid>
        <w:gridCol w:w="10000" w:type="dxa"/>
      </w:tblGrid>
      <w:tblPr>
        <w:tblStyle w:val="box"/>
      </w:tblPr>
      <w:tr>
        <w:trPr>
          <w:trHeight w:val="800" w:hRule="atLeast"/>
        </w:trPr>
        <w:tc>
          <w:tcPr>
            <w:tcW w:w="10000" w:type="dxa"/>
          </w:tcPr>
          <w:p>
            <w:pPr/>
            <w:r>
              <w:rPr/>
              <w:t xml:space="preserve">Število tujih študentov, ki je v obdobju epidemije stagniralo, se v zadnjih štirih letih povečuje in je v študijskem letu 2024/2025 preseglo 10 % vseh študentov. Predavanja se izvajajo v slovenščini, v primeru tujih študentov tudi v angleščini. V primeru prisotnosti tujih študentov nosilci poskrbijo za soglasja študentov glede izvajanja vsebin v angleškem jeziku, s čimer sledimo priporočilu NAKVIS. Fakulteta za računalništvo in informatiko UL pa je v sodelovanju s Centrom za jezikovne vire in tehnologije UL razvila sistem za sočasno strojno prevajanje slovenska predavanj v angleščino, kar bo omogočilo večjo dostopnost predavanj tako za domače, kot tudi tuje študente. </w:t>
            </w:r>
            <w:br/>
            <w:r>
              <w:rPr/>
              <w:t xml:space="preserve">Sicer pa vključujemo tuje študente v vse aktivnosti študija in obštudijske dejavnosti. </w:t>
            </w:r>
            <w:br/>
            <w:r>
              <w:rPr/>
              <w:t xml:space="preserve"/>
            </w:r>
            <w:br/>
            <w:r>
              <w:rPr/>
              <w:t xml:space="preserve">Na Veterinarski fakulteti je bil v študijskem letu 2023/2024 vpisan eden tuji študent. </w:t>
            </w:r>
            <w:br/>
            <w:r>
              <w:rPr/>
              <w:t xml:space="preserve"/>
            </w:r>
            <w:br/>
            <w:r>
              <w:rPr/>
              <w:t xml:space="preserve">Tuji študenti prihajajo na Fakulteto za farmacijo predvsem v okviru mednarodnih projektov. Celoten postopek – predavanja in obrazci so na voljo v angleškem jeziku. Raziskovalno delo pri teh študentih je vezano večinoma na mednarodne projekte. </w:t>
            </w:r>
            <w:br/>
            <w:r>
              <w:rPr/>
              <w:t xml:space="preserve"/>
            </w:r>
            <w:br/>
            <w:r>
              <w:rPr/>
              <w:t xml:space="preserve">Na Medicinski fakulteti se v primeru večjega števila vpisanih tujih študentov predavanja, seminarji in izpiti izvajajo v angleškem jeziku, prav tako so na voljo študijska gradiva v angleškem jeziku. Na področjih BMB in Nevroznanosti se organizirane oblike pouka za domače in tuje študente izvajajo skupaj, s čimer spodbujamo tudi pridobivanje in razvoj medkulturnih kompetenc, spretnosti in znanj, ter zavedanje in zavzemanje za pozitivno povezovanje z ljudmi iz drugih kulturnih okolij. Pogosto se študentje vključujejo ali zaposlujejo v okviru mednarodnih projektov in pogodb z drugimi univerzami. Na področju Medicina – temeljna usmeritev za tuje študente organiziramo konzultacije in pripravljamo izročke za spletno učilnico v angleškem jeziku. Na področju Medicina – klinična usmeritev imamo vsako leto 5-10 tujih študentov, za katere smo v letu 2024/25 pripravili modula 1 in 2 v angleškem jeziku, prav tako pa tudi pri izbirnih predmetih le ti potekajo s tujimi študenti v angleščini. Večinoma tuji študentje, ki se vpisujejo na to znanstveno področje prihajajo iz afriških držav (Nigerija, Gana). Zanje organiziramo pouk individualizirano v angleškem jeziku, vsekakor pa poskusimo vključiti eksperte iz njihovih držav, npr. kot somentorje. Na področjih Javno zdravje in Medicinska mikrobiologija v študijskem letu 2023/2024 sicer nismo imeli nobenega tujega študenta, v prihodnjem študijskem letu na področju Medicinska mikrobiologija pričakujemo prvega tujega študenta.</w:t>
            </w:r>
            <w:br/>
            <w:r>
              <w:rPr/>
              <w:t xml:space="preserve"/>
            </w:r>
            <w:br/>
            <w:r>
              <w:rPr/>
              <w:t xml:space="preserve">Na znanstvenem področju Genetika v zadnjih petih letih nismo imeli vpisanih tujih študentov, v tekočem študijskem letu pa dva.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1" w:name="_Toc41"/>
      <w:r>
        <w:t>Podpora za internacionalizacijo študija - Internacionalizacija
</w:t>
      </w:r>
      <w:bookmarkEnd w:id="41"/>
    </w:p>
    <w:p>
      <w:pPr/>
      <w:r>
        <w:rPr/>
        <w:t xml:space="preserve">Kako spremljate in krepite internacionalizacijo ŠP? (npr. število gostujočih profesorjev, ekspertov iz zunanjega okolja/tujine, strokovne ekskurzije v tujino, mednarodne poletne šole, dogodki za promocijo študija/ŠP v tujini) Izvzeta je mobilnost osebja.</w:t>
      </w:r>
    </w:p>
    <w:p>
      <w:pPr>
        <w:spacing w:after="0"/>
      </w:pPr>
      <w:r>
        <w:rPr>
          <w:sz w:val="16"/>
          <w:szCs w:val="16"/>
          <w:i w:val="1"/>
          <w:iCs w:val="1"/>
        </w:rPr>
        <w:t xml:space="preserve">Polje je bilo izpolnjeno prejšnje leto</w:t>
      </w:r>
    </w:p>
    <w:tbl>
      <w:tblGrid>
        <w:gridCol w:w="10000" w:type="dxa"/>
      </w:tblGrid>
      <w:tblPr>
        <w:tblStyle w:val="box"/>
      </w:tblPr>
      <w:tr>
        <w:trPr>
          <w:trHeight w:val="800" w:hRule="atLeast"/>
        </w:trPr>
        <w:tc>
          <w:tcPr>
            <w:tcW w:w="10000" w:type="dxa"/>
          </w:tcPr>
          <w:p>
            <w:pPr/>
            <w:r>
              <w:rPr/>
              <w:t xml:space="preserve">Na doktorskem programu Biomedicina izvajamo različne ukrepe za spodbujanje internacionalizacije (glejte točko 1 Internacionalizacija – domači študenti). Za dodatno mednarodno razsežnost namenjamo vsako leto en odstotek od vseh zbranih prihodkov od šolnin mednarodni aktivnosti učiteljev doktorskega študijskega programa Biomedicina. Na podlagi internega razpisa za sofinanciranje mednarodne dejavnosti učiteljev koordinatorji znanstvenih področij zberejo prijave in jih posredujejo Programskemu svetu. Delovna skupina iz vrst članov Programskega sveta vloge pregleda in predlaga Programskemu svetu sofinanciranje vabljenih, gostujočih predavateljev iz tujine (kakor tudi obiskov učiteljev Biomedicine na tujih univerzah). S tem vnašamo elemente internacionalizacije v sam ŠP. Mednarodno sodelovanje spodbujamo tudi z imenovanjem mentorjev/somentorjev iz tujine, poleg tega študentom omogočamo udeležbo na mednarodnih poletnih šolah, konferencah in kongresih (doma in v tujini), kar pripomore k širjenju njihovih znanj in mednarodnih izkušenj. V študijskem letu je bilo na razpisu za mednarodno aktivnost učiteljev programa Biomedicina odobrenih 23 gostovanj. V skladu s priporočilom skupine strokovnjakov NAKVIS povečujemo angažiranje tujih predavateljev pri izvajanju programa, mentorjev študentom in članov komisij za potrditev doktorskih nalog.</w:t>
            </w:r>
            <w:br/>
            <w:r>
              <w:rPr/>
              <w:t xml:space="preserve">V nadaljevanju so komentarji navedeni po članicah, ki koordinirajo posamezna znanstvena področja, saj je mednarodna dejavnost v veliki meri v njihovi pristojnosti.</w:t>
            </w:r>
            <w:br/>
            <w:r>
              <w:rPr/>
              <w:t xml:space="preserve"/>
            </w:r>
            <w:br/>
            <w:r>
              <w:rPr/>
              <w:t xml:space="preserve">Biotehniška fakulteta: V tem razpisu posebej spodbujamo in sofinanciramo mednarodne delavnice, ki se izvajajo kot dodatno izobraževanje na aktualnih temah. To omogoča tudi tistim študentom, ki ne gredo v tujino, stik z globalnimi trendi in različnimi raziskovalnimi pristopi. </w:t>
            </w:r>
            <w:br/>
            <w:r>
              <w:rPr/>
              <w:t xml:space="preserve"/>
            </w:r>
            <w:br/>
            <w:r>
              <w:rPr/>
              <w:t xml:space="preserve">Na Fakulteti za farmacijo smo zelo aktivni pri krepitvi internacionalizacije študija ter smo dejavni ne samo pri udeležbah ampak tudi pri organizaciji poletnih šol in mednarodnih dogodkov (npr. obisk Nobelovega nagrajenca, minisimpozij New Approaches in Tackling AMR). Beležimo obiske tujih predavateljev, ki prihajajo fizično na obisk na UL FFA. S študijem na daljavo so te evidence samo v poročilih o izvedbi predmetov. Beležimo obiske na poletnih šolah za študente. O predavanjih tujih predavateljev na UL FFA so vsi doktorski študenti obveščeni. Za krepitev internacionalizacije smo sprejeli ukrep, da morajo biti doktorski študenti dokumentirano udeleženi vsaj na dveh mednarodnih predavanjih na fakultet /UL vsako leto. </w:t>
            </w:r>
            <w:br/>
            <w:r>
              <w:rPr/>
              <w:t xml:space="preserve"/>
            </w:r>
            <w:br/>
            <w:r>
              <w:rPr/>
              <w:t xml:space="preserve">Medicinska fakulteta: Na področju Biokemija in molekularna biologija v okviru predavanj pri Modulu 1 kot predavateljica redno sodeluje prof. Pasamonti iz Univerze v Trstu. Del pouka pri Modulu 3 pa poteka v obliki delavnice, ki jo vodijo vabljeni predavatelji iz European Bioinformatics Institute (EMBL-EBI), njihovi potni stroški in bivanje pa se krijejo v okviru sofinanciranja mednarodne dejavnosti učiteljev. Na področju Medicina – temeljna usmeritev se Modul 5 izvede v povezavi z eno od mednarodnih delavnic, ki vsebuje tudi vsebine sistemske medicine. Tudi izbirni predmet Elektroporacija v biologiji, biotehnologiji in medicini se izvaja v okviru mednarodne podoktorske šole. Na področju so bili sofinancirani obiski treh predavateljev iz tujine. Na področju Medicina - klinična usmeritev je v programu gostovanje tujih predavateljev npr. prof. Khana (Granada, Španija), ki predstavi študentom izdelavo sistematičnega pregleda, ki je osnova za pregled področja, ki ga mora pripraviti kandidat pred vložitvijo predloga doktorske naloge. Pomemben je tudi seminar prof. Khana, ki ga ima na temo integritete v znanosti. Prof. Marš pa v okviru modula 1 predstavi možnosti za mednarodne izmenjave, ki potekajo v okviru Mednarodne pisarne UL MF. Tudi na področju Javno zdravje vsako leto vključujejo predavatelje iz tujine ter mentorje/somentorje in člane doktorskih komisij iz tujine. Tudi na področju Nevroznanost se poslužujemo vseh zgoraj omenjenih možnosti in zelo podpiramo internacionalizacijo doktorskega študija. Učitelji in izvajalci na področju BMB so organizirali tudi več mednarodnih srečanj (npr. Mednarodni znanstveni simpozij “Biochemistry and molecular genetics in medicine” ob 50-letnici Inštituta za biokemijo in molekularno genetiko in 30-letnici Medicinskega centra za molekularno biologijo, mednarodna delavnica "Importance of Biobanking in Biomarker Discovery", letno srečanje “European Network for Individualized Treatment of Endometrial Cancer”, in letno srečanje Slovenske mreže za zunajcelične vezikle SiN-EV), kjer so aktivno sodelovali tudi študentje Biomedicine, Biomedicina pa je dogodke podprla s financiranjem potnih stroškov nekaterih vrhunskih tujih predavateljev. Večkrat letno so organizirana tudi predavanja gostujočih predavateljev, tudi v okviru predavanj Slovenskega društva za biokemijo. Aktivnosti v zvezi z internacionalizacijo spremlja Mednarodna pisarna UL Medicinske fakultete, dogodke pa promoviramo in dokumentiramo tudi na naših spletnih straneh. Odmevnejši dogodki so predstavljeni tudi na letni Slavnostni seji Akademskega zbora UL Medicinske fakultete.</w:t>
            </w:r>
            <w:br/>
            <w:r>
              <w:rPr/>
              <w:t xml:space="preserve"/>
            </w:r>
            <w:br/>
            <w:r>
              <w:rPr/>
              <w:t xml:space="preserve">Na Biotehniški fakulteti smo na znanstvenem področju Genetika na podlagi razpisa za sofinanciranje mednarodne dejavnosti učiteljev že večkrat uspešno organizirali dvodnevno delavnico o uporabi genomskega brskalnika ENSEMBL, ki jo vodita dva strokovnjaka iz EMBL Hinxton, Velika Britanija. Pri modulu 1 redno sodelujeta dva tuja predavatelja: prof. Čurik iz Hrvaške za področje konzervacijske genetike ter prof. Gorjanc z Univerze v Edinburghu za področje kvantitativne genetike.</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2" w:name="_Toc42"/>
      <w:r>
        <w:t>Ocena oz. vrednotenje</w:t>
      </w:r>
      <w:bookmarkEnd w:id="42"/>
    </w:p>
    <w:p>
      <w:pPr/>
      <w:r>
        <w:rPr/>
        <w:t xml:space="preserve">Ocenite učinke zgoraj navedenih elementov/aktivnosti na kakovost ŠP.</w:t>
      </w:r>
    </w:p>
    <w:p>
      <w:pPr/>
      <w:r>
        <w:rPr/>
        <w:t xml:space="preserve">Oceno, če je le mogoče, podprite (npr. z navedbo učinka, z ugotovitvami, povratnimi informacijami, primeri uspešnega vpeljevanja aktivnosti).</w:t>
      </w:r>
    </w:p>
    <w:tbl>
      <w:tblGrid>
        <w:gridCol w:w="10000" w:type="dxa"/>
      </w:tblGrid>
      <w:tblPr>
        <w:tblStyle w:val="box"/>
      </w:tblPr>
      <w:tr>
        <w:trPr>
          <w:trHeight w:val="800" w:hRule="atLeast"/>
        </w:trPr>
        <w:tc>
          <w:tcPr>
            <w:tcW w:w="10000" w:type="dxa"/>
          </w:tcPr>
          <w:p>
            <w:pPr/>
            <w:r>
              <w:rPr/>
              <w:t xml:space="preserve">Delovanje domačih in tujih doktorskih študentov v mednarodnem prostoru bistveno prispeva h kakovosti ŠP, kar dokazujejo aktivne udeležbe na mednarodnih simpozijih, konferencah in poletnih šolah. Aktivno vključujemo v ŠP tuje študente skupaj z domačimi študenti ter jim nudimo ustrezno učno okolje v angleškem jeziku. Prav tako smo aktivni pri gostovanjih tujih ekspertov, ki prihajajo v okviru mednarodnih projektov in sodelovanj.</w:t>
            </w:r>
            <w:br/>
            <w:r>
              <w:rPr/>
              <w:t xml:space="preserve"/>
            </w:r>
            <w:br/>
            <w:r>
              <w:rPr/>
              <w:t xml:space="preserve">V izvedbo posameznih modulov in izbirnih predmetov pa vključujemo tudi predavatelje iz tujine, kar bistveno povečuje kakovost študija prav z vidika mednarodnih in medkulturnih razsežnosti. Pri tem si pomagamo tudi z izvedbo predavanj in konzultacij na daljavo.</w:t>
            </w:r>
            <w:br/>
            <w:r>
              <w:rPr/>
              <w:t xml:space="preserve"/>
            </w:r>
            <w:br/>
            <w:r>
              <w:rPr/>
              <w:t xml:space="preserve">Učinke ukrepov internacionalizacije ocenjujemo kot zelo uspešne, seveda pa niso še izčrpane vse možnosti.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3" w:name="_Toc43"/>
      <w:r>
        <w:t>Priložnosti za izboljšave</w:t>
      </w:r>
      <w:bookmarkEnd w:id="43"/>
    </w:p>
    <w:p>
      <w:pPr/>
      <w:r>
        <w:rPr/>
        <w:t xml:space="preserve">Kje vidite priložnosti za izboljšave oz. na kakšen način menite, da bi bilo smiselno naslavljati izzive ŠP z vidika PODPORE ZA INTERNACIONALIZACIJO ŠTUDIJA?</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Za to področje ni predvidenih ukrepov.</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44" w:name="_Toc44"/>
      <w:r>
        <w:t>5.č USPEŠNOST IN UČINKOVITOST ŠTUDIJA: Zagotavljanje podpore, spodbujanje študentov pri študiju</w:t>
      </w:r>
      <w:bookmarkEnd w:id="44"/>
    </w:p>
    <w:p>
      <w:pPr/>
      <w:r>
        <w:rPr/>
        <w:t xml:space="preserve">Navedite aktivnosti, ki so vezane na ŠP.</w:t>
      </w:r>
    </w:p>
    <w:p>
      <w:pPr>
        <w:sectPr>
          <w:type w:val="continuous"/>
          <w:pgSz w:orient="portrait" w:w="11905.511811023622" w:h="16837.79527559055"/>
          <w:pgMar w:top="1440" w:right="1440" w:bottom="1440" w:left="1440" w:header="720" w:footer="720" w:gutter="0"/>
          <w:cols w:num="1" w:space="720"/>
        </w:sectPr>
      </w:pPr>
    </w:p>
    <w:p/>
    <w:p>
      <w:pPr>
        <w:pStyle w:val="Heading2"/>
      </w:pPr>
      <w:bookmarkStart w:id="45" w:name="_Toc45"/>
      <w:r>
        <w:t>Zagotavljanje podpore, spodbujanje študentov pri študiju - V povezavi z izvajanjem študijskega procesa</w:t>
      </w:r>
      <w:bookmarkEnd w:id="45"/>
    </w:p>
    <w:p>
      <w:pPr/>
      <w:r>
        <w:rPr/>
        <w:t xml:space="preserve">Kakšne vrste podpore zagotavljate študentom v povezavi z izvajanjem študijskega procesa?(npr. tutorstvo, podpora pri naboru izbirnih predmetov, naslavljanje različnih potreb študentov, individualno prilagajanje, različni načini ocenjevanja itd.)</w:t>
      </w:r>
    </w:p>
    <w:tbl>
      <w:tblGrid>
        <w:gridCol w:w="10000" w:type="dxa"/>
      </w:tblGrid>
      <w:tblPr>
        <w:tblStyle w:val="box"/>
      </w:tblPr>
      <w:tr>
        <w:trPr>
          <w:trHeight w:val="800" w:hRule="atLeast"/>
        </w:trPr>
        <w:tc>
          <w:tcPr>
            <w:tcW w:w="10000" w:type="dxa"/>
          </w:tcPr>
          <w:p>
            <w:pPr/>
            <w:r>
              <w:rPr/>
              <w:t xml:space="preserve">Podpora študentom se začne še pred vpisom, saj jim ponujamo ustrezne informacije o značilnostih študija in o postopkih na informativnih dnevih in preko prenovljenih vsebin spletne strani v slovenščini in angleščini. Slednje sledi priporočilu NAKVIS, podano v okviru vzorčne evalvacije, glede posodobitve spletne strani tako, da bodo vsebine bolj pregledne. Prav tako so jim na voljo informacije preko študentskih referatov članic koordinatoric in Službe za doktorski študij UL. Predmetnik obveznih predmetov, ki odraža znanstveno področje študija, je oblikovan v sodelovanju študenta, mentorja in koordinatorja področja. Tudi pri izboru izbirnih predmetov sodeluje mentor. Mentor in morebitni somentor sta ključni osebi pri podpori, usmerjanju, spodbujanju in motiviranju študentov skozi celotni študij. </w:t>
            </w:r>
            <w:br/>
            <w:r>
              <w:rPr/>
              <w:t xml:space="preserve"/>
            </w:r>
            <w:br/>
            <w:r>
              <w:rPr/>
              <w:t xml:space="preserve">Urniki temeljnih predmetov so pripravljeni in objavljeni pred vpisom, saj zaradi osnovne izbirnosti študenti vpisujejo tudi module iz drugih področij Biomedicine. Tako zagotovimo vsaj v osnovi neprekrivanje terminov. Pri manjšem številu vpisanih študentov k predmetom zagotovimo individualne konzultacije.  Komisije za spremljanje študenta so imenovane ob obravnavi prijave dispozicije doktorske disertacije v 2. letniku, tako da lahko skozi proces prijave dispozicije in faznega poročila pripomorejo h kakovostnejšim pristopom pri raziskovalnem delu. Vsebine seminarjev in študijskega gradiva individualno prilagajamo glede na širše področje teme doktorske disertacije in na ta način študentom omogočimo pridobivanje poglobljenega znanja specifičnega področja.  </w:t>
            </w:r>
            <w:br/>
            <w:r>
              <w:rPr/>
              <w:t xml:space="preserve"/>
            </w:r>
            <w:br/>
            <w:r>
              <w:rPr/>
              <w:t xml:space="preserve">V študijskem letu 24/25 je - tudi na predlog skupine strokovnjakov NAKVIS v okviru vzorčne evalvacije - zaživela skupna spletna učilnica programa Biomedicina.</w:t>
            </w:r>
            <w:br/>
            <w:r>
              <w:rPr/>
              <w:t xml:space="preserve"/>
            </w:r>
            <w:br/>
            <w:r>
              <w:rPr/>
              <w:t xml:space="preserve">Na področju Genetika so študentom na voljo redne konzultacije s koordinatorjem in njegovim namestnikom. Pri načrtovanju urnika temeljnih modulov aktivno sodelujemo s študenti, da zagotovimo prilagodljiv urnik, ki omogoča učinkovito usklajevanje študijskih in raziskovalnih obveznosti. Primarno podporo študentom na vseh področjih nudijo mentorji, ki študentom pomagajo pri izbiri predmetov, pri pripravi dispozicije in pri individualnem raziskovalnem delu v laboratorijih/klinikah, ki predstavlja glavnino doktorskega študija Biomedicine. Na področju Veterinarska medicina vsak študent pri izbranih predmetih opravi individualne konzultacije po razporedu konzultacij, ki jih študentom poda nosilec modula. Zaradi majhnega števila vpisanih študentov na področju so vsi nosilci/izvajalci študentu individualno na voljo za konzultacije po predhodnem dogovoru. Podporo pri izbiri izbirnih predmetov nudijo doktorandu glede na tematiko disertacije mentor in koordinator področja, ki imata svetovalno vlogo. Doktorandi se lahko posvetujejo z mentorjem, izvajalci predmetov in koordinatorjem/namestnikom o vprašanjih, ki se nanašajo na doktorski študij. </w:t>
            </w:r>
            <w:br/>
            <w:r>
              <w:rPr/>
              <w:t xml:space="preserve"/>
            </w:r>
            <w:br/>
            <w:r>
              <w:rPr/>
              <w:t xml:space="preserve">Prav tako študentom, vpisanim na področja Farmacija, Klinična biokemija in laboratorijska biomedicina, Toksikologija nudijo podporo koordinatorji znanstvenih področij, ki jim dajejo informacije in podatke o pravilih, ki jih morajo izpolnjevati tekom doktorskega študija. Študente obveščajo o delavnicah in primernih konferencah ter jih vabijo na vabljena predavanja. Izbirni predmeti se v veliki meri izvajajo v obliki konzultacij, ki so prilagojene predznanju študentov. </w:t>
            </w:r>
            <w:br/>
            <w:r>
              <w:rPr/>
              <w:t xml:space="preserve"/>
            </w:r>
            <w:br/>
            <w:r>
              <w:rPr/>
              <w:t xml:space="preserve">Izvajalci predmetov področij Medicina – klinična usmeritev, Medicina – temeljna usmeritev, Biokemija in molekularna biologija, Medicinska mikrobiologija, Javno zdravje, študentom tudi na voljo za konzultacije. Študentom poleg mentorjev in somentorjev ter koordinatorjev področij in njihovih namestnikov na vseh področjih nudijo podporo tudi v referatih za doktorski študij na članicah, koordinatoricah področij.</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6" w:name="_Toc46"/>
      <w:r>
        <w:t>Zagotavljanje podpore, spodbujanje študentov pri študiju - Znanstveno, raziskovalno oz. umetniško delo</w:t>
      </w:r>
      <w:bookmarkEnd w:id="46"/>
    </w:p>
    <w:p>
      <w:pPr/>
      <w:r>
        <w:rPr/>
        <w:t xml:space="preserve">[3. stopnja] Kako vključujete študente v znanstveno, raziskovalno in razvojno ter umetniško delo in projekte, povezane s študijskim programom?</w:t>
      </w:r>
    </w:p>
    <w:p>
      <w:pPr/>
      <w:r>
        <w:rPr/>
        <w:t xml:space="preserve">(npr. vključitev študentov v temeljne in aplikativne raziskave, raziskovalne programe, umetniške projekte itd.)Ocenite število študentov, vključenih v raziskovalne in razvojne oz. umetniške projekte.</w:t>
      </w:r>
    </w:p>
    <w:tbl>
      <w:tblGrid>
        <w:gridCol w:w="10000" w:type="dxa"/>
      </w:tblGrid>
      <w:tblPr>
        <w:tblStyle w:val="box"/>
      </w:tblPr>
      <w:tr>
        <w:trPr>
          <w:trHeight w:val="800" w:hRule="atLeast"/>
        </w:trPr>
        <w:tc>
          <w:tcPr>
            <w:tcW w:w="10000" w:type="dxa"/>
          </w:tcPr>
          <w:p>
            <w:pPr/>
            <w:r>
              <w:rPr/>
              <w:t xml:space="preserve">Na doktorski ravni so VSI študenti vključeni v raziskovalno delo, saj je to bistvo študija in ŠP. Raziskovalno delo obsega namreč tri četrtine ECTS ŠP in zahteva tudi največji vložek študenta. Ne gre namreč za sodelovanje ali vključevanje v raziskovalno delo, temveč za samostojno raziskovanje v sami špici znanosti. Vsak študent mora imeti ob vpisu mentorja, slednji pa mora izkazovati za mentorstvo ustrezno znanstveno-raziskovalno aktivnost na področju v zadnjih letih. To pomeni, da so VSI študenti Biomedicine od samega začetka – zasnove doktorske naloge ob vpisu - neposredno vključeni v projekte ali programe mentorja, ki jim tudi zagotavlja finančno in materialno osnovo za raziskovalno delo. Šolnina namreč pokriva samo pedagoški del kontaktnih ur organiziranih oblik (predavanja, seminarji, konzultacije), postopke na organih ŠP in UL, deloma informacijsko podporo in deloma mentorstvo. Pretežni del stroškov morajo pokriti mentorji skozi svojo raziskovalno in razvojno vpetost preko javnih in tržnih projektov.</w:t>
            </w:r>
            <w:br/>
            <w:r>
              <w:rPr/>
              <w:t xml:space="preserve"/>
            </w:r>
            <w:br/>
            <w:r>
              <w:rPr/>
              <w:t xml:space="preserve">Veterinarska medicina: Vsi študentje so vključeni v znanstvenoraziskovalno delo v eni izmed dveh programskih skupin VF, katere člani so mentorji. Tematika disertacije se vsebinsko praviloma nanaša na raziskovalno področje mentorja. V primeru, da je študent vključen v raziskave na raziskovalnem projektu, ga o tem obvestita mentor in nosilec projekta. </w:t>
            </w:r>
            <w:br/>
            <w:r>
              <w:rPr/>
              <w:t xml:space="preserve">Doktorski študenti so na Veterinarski fakulteti vključeni v naslednje raziskovalne programe in projekte:</w:t>
            </w:r>
            <w:br/>
            <w:r>
              <w:rPr/>
              <w:t xml:space="preserve">V študijskem letu 2024/25</w:t>
            </w:r>
            <w:br/>
            <w:r>
              <w:rPr/>
              <w:t xml:space="preserve">- P3-0428  Primerjalna onkologija za obravnavo redkih vrst raka  1.1.2022 - 31.12.2027  </w:t>
            </w:r>
            <w:br/>
            <w:r>
              <w:rPr/>
              <w:t xml:space="preserve">- P4-0455  Veterinarska regenerativna medicina  1.1.2024 - 31.12.2027  </w:t>
            </w:r>
            <w:br/>
            <w:r>
              <w:rPr/>
              <w:t xml:space="preserve">- BI-DK/25-27-002  Večplastna vloga adhezivnega s proteinom G skopljenega receptorja ADGRA3 v reprodukcijski biologiji: od temeljnega razumevanja do obetavnih aplikacij  1.1.2025 - 31.12.2026  </w:t>
            </w:r>
            <w:br/>
            <w:r>
              <w:rPr/>
              <w:t xml:space="preserve">- J4-50133  Genetska osnova baročnih in delovnih pasem konj  1.11.2023 - 31.10.2026  </w:t>
            </w:r>
            <w:br/>
            <w:r>
              <w:rPr/>
              <w:t xml:space="preserve">- J4-50143  Učinek intrabronhialnega zdravljenja z zunajceličnimi vezikli, pridobljenimi iz matičnih celic adipoznega tkiva, na pljučno vnetje in miRNA v krvi in bronhoalveolarni tekočini pri konjih s hudo astmo.  1.10.2023 - 30.9.2026  </w:t>
            </w:r>
            <w:br/>
            <w:r>
              <w:rPr/>
              <w:t xml:space="preserve">- BI-US/24-26-026  Primerjalna biologija raka omogoča unikaten vpogled v mehanizem delovanja in terapevtske možnosti  1.7.2024 - 30.6.2026  </w:t>
            </w:r>
            <w:br/>
            <w:r>
              <w:rPr/>
              <w:t xml:space="preserve"/>
            </w:r>
            <w:br/>
            <w:r>
              <w:rPr/>
              <w:t xml:space="preserve"/>
            </w:r>
            <w:br/>
            <w:r>
              <w:rPr/>
              <w:t xml:space="preserve">Farmacija, Klinična biokemija in laboratorijska biomedicina, Toksikologija:  Doktorski študenti so vključeni v naslednje programske skupine:</w:t>
            </w:r>
            <w:br/>
            <w:r>
              <w:rPr/>
              <w:t xml:space="preserve">- Farmacevtska tehnologija: od dostavnih sistemov učinkovin do terapijskih izidov zdravil pri otrocih in starostnikih P1-0189 </w:t>
            </w:r>
            <w:br/>
            <w:r>
              <w:rPr/>
              <w:t xml:space="preserve">- Farmacevtska kemija: načrtovanje, sinteza in vrednotenje učinkovin P1-0208 </w:t>
            </w:r>
            <w:br/>
            <w:r>
              <w:rPr/>
              <w:t xml:space="preserve">- Napredna imunološka zdravila in celični pristopi v farmaciji P1-0420</w:t>
            </w:r>
            <w:br/>
            <w:r>
              <w:rPr/>
              <w:t xml:space="preserve">- Farmacevtska biotehnologija: znanost za zdravje P4-0127</w:t>
            </w:r>
            <w:br/>
            <w:r>
              <w:rPr/>
              <w:t xml:space="preserve">- Geni, hormonske in osebnostne spremembe pri metabolnih motnjah, P3-0298</w:t>
            </w:r>
            <w:br/>
            <w:r>
              <w:rPr/>
              <w:t xml:space="preserve">- Sistemske avtoimunske bolezni, P3-0314</w:t>
            </w:r>
            <w:br/>
            <w:r>
              <w:rPr/>
              <w:t xml:space="preserve"/>
            </w:r>
            <w:br/>
            <w:r>
              <w:rPr/>
              <w:t xml:space="preserve">Medicina – klinična usmeritev, Medicina – temeljna usmeritev, Biokemija in molekularna biologija, Medicinska mikrobiologija, Javno zdravje: Študentje so vključeni v raziskovalne programe ter raziskovalne, aplikativne in industrijske projekte, ki sofinancirajo tudi raziskovalno delo študentov. V letu 2024 so na Medicinski fakulteti učitelji in mentorji doktorskih študentov sodelovali kar na 23 raziskovalnih programih (I0-0022, P1-0055, P1-0170, P1-0390, P2-0087, P2-0109, P3-0019, P3-0043, P3-0054, P3-0067, P3-0083, P3-0108, P3-0154, P3-0171, P3-0293, P3-0296, P3-0310, P3-0321, P3-0326, P3-0339, P3-0374, P3-0429, P3-0449) in 80 raziskovalnih slovenskih in mednarodnih projektih.</w:t>
            </w:r>
            <w:br/>
            <w:r>
              <w:rPr/>
              <w:t xml:space="preserve"/>
            </w:r>
            <w:br/>
            <w:r>
              <w:rPr/>
              <w:t xml:space="preserve">Genetika: V študijskem letu 2023/2024 so bili vsi študentje vključeni ali v raziskovalne projekte ali programe BF: program P3-0154 (Metodologija za analizo podatkov v medicini), P3-0326 (Ginekologija in reprodukcija: Genomika za personalizirano medicino), P4-0220 (Primerjalna genomika in genomska biodiverziteta), P1-0207 (Toksini in biomembrane), projekt P3-0360 (Celostna obravnava alergijskih bolezni in astme v Sloveniji: od epidemiologije do genetike),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7" w:name="_Toc47"/>
      <w:r>
        <w:t>Zagotavljanje podpore, spodbujanje študentov pri študiju - Aktivnosti ob študiju</w:t>
      </w:r>
      <w:bookmarkEnd w:id="47"/>
    </w:p>
    <w:p>
      <w:pPr/>
      <w:r>
        <w:rPr/>
        <w:t xml:space="preserve">Katere aktivnosti še ponujate študentom ob študiju?(npr. šport, pevski zbori, študentska društva itd.)</w:t>
      </w:r>
    </w:p>
    <w:tbl>
      <w:tblGrid>
        <w:gridCol w:w="10000" w:type="dxa"/>
      </w:tblGrid>
      <w:tblPr>
        <w:tblStyle w:val="box"/>
      </w:tblPr>
      <w:tr>
        <w:trPr>
          <w:trHeight w:val="800" w:hRule="atLeast"/>
        </w:trPr>
        <w:tc>
          <w:tcPr>
            <w:tcW w:w="10000" w:type="dxa"/>
          </w:tcPr>
          <w:p>
            <w:pPr/>
            <w:r>
              <w:rPr/>
              <w:t xml:space="preserve">Doktorski študenti so del skupnosti zaposlenih in študentov UL in so jim na voljo praktično vse aktivnosti, ki se izvajajo v okviru UL. Tako se lahko vključijo v Klube alumnov, uporabljajo storitve Kariernega centra UL, organizirano športno rekreacijo, sodelujejo na natečajih za nagrade na UL (npr. rektorjeva nagrada za naj inovacijo, Prešernove nagrade, fakultetne nagrade), na natečajih sodelujočih inštitutov (IJS, KI, NIB) in izven (Krkine nagrade, Lekov Biocamp, nagrada L'Oréal-UNESCO Za ženske v znanosti, Medisove nagrade). </w:t>
            </w:r>
            <w:br/>
            <w:r>
              <w:rPr/>
              <w:t xml:space="preserve"/>
            </w:r>
            <w:br/>
            <w:r>
              <w:rPr/>
              <w:t xml:space="preserve">Nekaj specifičnih vidikov je v nadaljevanju podano po članicah koordinatoricah:</w:t>
            </w:r>
            <w:br/>
            <w:r>
              <w:rPr/>
              <w:t xml:space="preserve">Študenti VF imajo poleg skupnih možnost udeležbe tudi na naslednjih aktivnostih: </w:t>
            </w:r>
            <w:br/>
            <w:r>
              <w:rPr/>
              <w:t xml:space="preserve">- Klub alumnov VF (VF spletna stran: https://www.vf.uni-lj.si/izobrazevanje/klub-alumnov-vf, UL spletna stran – postani član: https://alumniul.online/). Podiplomski študenti organizirajo različna srečanja v okviru Kluba alumnov,</w:t>
            </w:r>
            <w:br/>
            <w:r>
              <w:rPr/>
              <w:t xml:space="preserve">- Mešani pevski zbor Phrenicus (https://www.vf.uni-lj.si/izobrazevanje/obstudijske-dejavnosti). V njem sodelujejo študenti in študentke Veterinarske fakultete,</w:t>
            </w:r>
            <w:br/>
            <w:r>
              <w:rPr/>
              <w:t xml:space="preserve">- Journal club, kjer osebje Klinike za male živali in študenti predstavijo zanimivosti s področja zdravstvenega varstva malih živali,</w:t>
            </w:r>
            <w:br/>
            <w:r>
              <w:rPr/>
              <w:t xml:space="preserve">- študenti so vključeni v organizacijo delavnic in kongresov,</w:t>
            </w:r>
            <w:br/>
            <w:r>
              <w:rPr/>
              <w:t xml:space="preserve">- študenti so dobitniki Krkinih nagrad,</w:t>
            </w:r>
            <w:br/>
            <w:r>
              <w:rPr/>
              <w:t xml:space="preserve">- Veterinarska fakulteta vsake tri leta podeli Zavrnikovo priznanje za najboljšo doktorsko disertacijo s področja veterinarske medicine.</w:t>
            </w:r>
            <w:br/>
            <w:r>
              <w:rPr/>
              <w:t xml:space="preserve"/>
            </w:r>
            <w:br/>
            <w:r>
              <w:rPr/>
              <w:t xml:space="preserve">Študentom na UL FFA in širše nudimo številne aktivnosti ob študiju, poleg skupnih še:</w:t>
            </w:r>
            <w:br/>
            <w:r>
              <w:rPr/>
              <w:t xml:space="preserve">- Klub alumnov UL FFA (https://www.ffa.uni-lj.si/fakulteta/alumni), </w:t>
            </w:r>
            <w:br/>
            <w:r>
              <w:rPr/>
              <w:t xml:space="preserve">- lahko se vključijo v Društvo mladih raziskovalcev, </w:t>
            </w:r>
            <w:br/>
            <w:r>
              <w:rPr/>
              <w:t xml:space="preserve">- aktivni odmor UL,</w:t>
            </w:r>
            <w:br/>
            <w:r>
              <w:rPr/>
              <w:t xml:space="preserve">- vsako leto UL FFA v tednu univerze podeljuje dekanove nagrade za najodmevnejše znanstvene objave,</w:t>
            </w:r>
            <w:br/>
            <w:r>
              <w:rPr/>
              <w:t xml:space="preserve">- študenti so redni dobitniki Krkinih nagrad,</w:t>
            </w:r>
            <w:br/>
            <w:r>
              <w:rPr/>
              <w:t xml:space="preserve">- študenti so vključeni v organizacijo tečajev, delavnic, kongresov,</w:t>
            </w:r>
            <w:br/>
            <w:r>
              <w:rPr/>
              <w:t xml:space="preserve">- študenti aktivno sodelujejo v društvih: SFD, STD in Slovenskem združenju za klinično biokemijo in laboratorijsko biomedicino (Jesenovčevi dnevi).</w:t>
            </w:r>
            <w:br/>
            <w:r>
              <w:rPr/>
              <w:t xml:space="preserve"/>
            </w:r>
            <w:br/>
            <w:r>
              <w:rPr/>
              <w:t xml:space="preserve">MF: Študenti doktorskega študija Biomedicina se enako kot študenti EMŠ Medicina in EMŠ Dentalna medicina lahko vključujejo v prostočasne aktivnosti, ki jih nudi UL MF. Informacije o teh aktivnostih študenti najdejo na spletni strani UL MF. UL MF študentom omogoča aktivnosti na različnih področjih:  </w:t>
            </w:r>
            <w:br/>
            <w:r>
              <w:rPr/>
              <w:t xml:space="preserve">- na področju športa: Slovensko zdravniško športno društvo Medicus, Vadba joge za zaposlene na UL MF, različna ligaška in individualna tekmovanja</w:t>
            </w:r>
            <w:br/>
            <w:r>
              <w:rPr/>
              <w:t xml:space="preserve">- na področju kulture: KUD KC MF Lojz Kraigher, Kitarski orkester MF, Simfonični orkester MF</w:t>
            </w:r>
            <w:br/>
            <w:r>
              <w:rPr/>
              <w:t xml:space="preserve">Doktorski študenti se lahko tudi združujejo v okviru sekcij in združenj Slovenskega zdravniškega društva, na primer Sekcije Mladih Zdravnikov Družinske Medicine in vključujejo v različna strokovna in stanovska združenja: v Društvo mladih raziskovalcev, Slovensko biokemijsko društvo, Slovensko genetsko društvo, Nevroznanost: SINAPSA  in druga.</w:t>
            </w:r>
            <w:br/>
            <w:r>
              <w:rPr/>
              <w:t xml:space="preserve">Študenti se lahko preko svojih učiteljev in mentorjev vključijo tudi v organizacijo kongresov, tečajev in delavnic. </w:t>
            </w:r>
            <w:br/>
            <w:r>
              <w:rPr/>
              <w:t xml:space="preserve"/>
            </w:r>
            <w:br/>
            <w:r>
              <w:rPr/>
              <w:t xml:space="preserve">BF aktivno spodbuja študente k vključevanju v Slovensko genetsko društvo, kjer lahko sodelujejo pri strokovnih in raziskovalnih aktivnostih ter se povezujejo z domačimi in tujimi strokovnjaki. Študente posebej vabimo na letni kolokvij genetskega društva, ki je namenjen izključno doktorandom in jim omogoča predstavitev raziskovalnega dela v obliki ustnih predavanj. Predavanja in prispevki so del ocenjevanja, najboljši pa prejmejo priznanja in nagrade, kar dodatno spodbuja kakovost znanstvenega dela in mreženje v akademski skupnosti.</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8" w:name="_Toc48"/>
      <w:r>
        <w:t>Zagotavljanje podpore, spodbujanje študentov pri študiju - Posebna pomoč</w:t>
      </w:r>
      <w:bookmarkEnd w:id="48"/>
    </w:p>
    <w:p>
      <w:pPr/>
      <w:r>
        <w:rPr/>
        <w:t xml:space="preserve">Ali je študentom omogočena/dostopna posebna pomoč glede na dodatne potrebe?(npr. pomoč v duševni stiski itd.)</w:t>
      </w:r>
    </w:p>
    <w:p>
      <w:pPr>
        <w:spacing w:after="0"/>
      </w:pPr>
      <w:r>
        <w:rPr>
          <w:sz w:val="16"/>
          <w:szCs w:val="16"/>
          <w:i w:val="1"/>
          <w:iCs w:val="1"/>
        </w:rPr>
        <w:t xml:space="preserve">Polje je bilo izpolnjeno prejšnje leto</w:t>
      </w:r>
    </w:p>
    <w:tbl>
      <w:tblGrid>
        <w:gridCol w:w="10000" w:type="dxa"/>
      </w:tblGrid>
      <w:tblPr>
        <w:tblStyle w:val="box"/>
      </w:tblPr>
      <w:tr>
        <w:trPr>
          <w:trHeight w:val="800" w:hRule="atLeast"/>
        </w:trPr>
        <w:tc>
          <w:tcPr>
            <w:tcW w:w="10000" w:type="dxa"/>
          </w:tcPr>
          <w:p>
            <w:pPr/>
            <w:r>
              <w:rPr/>
              <w:t xml:space="preserve">Doktorski študenti so del skupnosti zaposlenih in študentov UL ter imajo dostop do skoraj vseh aktivnosti, ki se izvajajo v okviru univerze. Na voljo so jim Psihosocialna svetovalnica, Mreža zaupnih oseb UL, varuh študentov in njegova pisarna. Prav tako zanje velja Pravilnik o študentih s posebnimi potrebami in posebnim statusom UL, enako kot za študente prve in druge stopnje. Doktorskim študentom so informacije o dodatni pomoči v primeru različnih stisk na voljo na univerzitetni spletni strani https://www.uni-lj.si/studij/dusevno-zdravje/pomoc-v-stiski/. Vedno se lahko obrnejo za pomoč tudi na svoje mentorje ali zaupne osebe, ki delujejo na posameznih članicah. Sistem zaupnih oseb imamo vzpostavljen na vseh članicah izvajalkah programa, ki ga lahko uporabljajo tudi doktorski študenti.</w:t>
            </w:r>
            <w:br/>
            <w:r>
              <w:rPr/>
              <w:t xml:space="preserve"/>
            </w:r>
            <w:br/>
            <w:r>
              <w:rPr/>
              <w:t xml:space="preserve">Na Veterinarski fakulteti deluje na drugi stopnji študija delovna skupina za podporo študentom s posebnimi potrebami, sestavljena iz treh profesorjev in dveh študentov. Imenuje se tudi posebna oseba za pomoč študentom s posebnimi potrebami. Dostop do predavalnic omogoča gosenični voziček, nameščen v pritličju glavne stavbe. Čeprav doktorskih študentov s posebnim statusom doslej ni bilo, bi lahko uporabili obstoječe prilagoditve s prve in druge stopnje. VF zagotavlja tudi psihološko podporo v sodelovanju s Pedagoško fakulteto UL ter ima vzpostavljen sistem zaupnih oseb za študente vseh stopenj in zaposlene. Študenti Fakultete za farmacijo se lahko obrnejo na zaupne osebe v primeru stiske. Dostopnost za gibalno ovirane je zaradi stare in zaščitene stavbe omejena, vendar je kljub temu omogočen dostop do predavalnic, kabinetov in laboratorijev. Za študente Medicinske fakultete so na spletni strani MF pod zavihkom "Podpora študentom" zbrane informacije o pomoči pri vključevanju v akademsko okolje. Na voljo so Psihosocialna svetovalnica, Mreža zaupnih oseb UL, varuh študentov in njegova pisarna ter informacije o statusu študentov s posebnimi potrebami in posebnim statusom. Več informacij: https://www.mf.uni-lj.si/o-studiju/informacije-za-studente/podpora-studentom.</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49" w:name="_Toc49"/>
      <w:r>
        <w:t>Ocena oz. vrednotenje</w:t>
      </w:r>
      <w:bookmarkEnd w:id="49"/>
    </w:p>
    <w:p>
      <w:pPr/>
      <w:r>
        <w:rPr/>
        <w:t xml:space="preserve">Ocenite učinke zgoraj navedenih elementov/aktivnosti na kakovost ŠP.</w:t>
      </w:r>
    </w:p>
    <w:p>
      <w:pPr/>
      <w:r>
        <w:rPr/>
        <w:t xml:space="preserve">Oceno, če je le mogoče, podprite (npr. z navedbo učinka, z ugotovitvami, povratnimi informacijami, primeri uspešnega vpeljevanja aktivnosti).</w:t>
      </w:r>
    </w:p>
    <w:tbl>
      <w:tblGrid>
        <w:gridCol w:w="10000" w:type="dxa"/>
      </w:tblGrid>
      <w:tblPr>
        <w:tblStyle w:val="box"/>
      </w:tblPr>
      <w:tr>
        <w:trPr>
          <w:trHeight w:val="800" w:hRule="atLeast"/>
        </w:trPr>
        <w:tc>
          <w:tcPr>
            <w:tcW w:w="10000" w:type="dxa"/>
          </w:tcPr>
          <w:p>
            <w:pPr/>
            <w:r>
              <w:rPr/>
              <w:t xml:space="preserve">Nekatere šibkosti programa, ki so posledica izrazitega pomanjkanja ustreznih prostorov na MF, FFA in VF, se ne izkazujejo tako izrazito skozi ankete in delo, saj so do določene mere kompenzirane z velikim angažmajem pedagoškega in strokovnega osebja. V danih razmerah lahko ocenjujemo ukrepe kot učinkovite, vsekakor pa brez izpeljanih investicij v nove prostore in dodatno opremo, program samo z zavzetostjo ne bo mogel izkazovati globalno vrhunskih raziskovalnih rezultatov, ki se od njega v družbi pričakujejo.</w:t>
            </w:r>
            <w:br/>
            <w:r>
              <w:rPr/>
              <w:t xml:space="preserve"/>
            </w:r>
            <w:br/>
            <w:r>
              <w:rPr/>
              <w:t xml:space="preserve">Zelo dobrodošla je sprememba pravil na ravni UL, da ima lahko študent več somentorjev in tudi formalno prepoznane strokovne zunanje svetovalce. Predvsem na področju internacionalizacije smo na področju Biomedicine težje vzpostavljali pedagoška sodelovanja, saj nismo imeli pravega vzvoda priznati pedagoškega prispevka sodelavca. Zaradi interdisciplinarnosti programa, ki ga še posebej podpiramo pri doktorskih temah, je že v osnovi mnogo tem takih, da zahtevajo dva sodelujoča – bazični/laboratorijski in klinični vidik. Ob sodelovanju s tujimi inštitucijami ni bilo prostora za somentorstvo ne glede na vložek tujega sodelavca. Po uveljavitvi sprememb ob vključitvi strokovnjakov / ekspertov tuje institucije bo po novem možno na formalni ravni priznati tako sodelovanje. </w:t>
            </w:r>
            <w:br/>
            <w:r>
              <w:rPr/>
              <w:t xml:space="preserve"/>
            </w:r>
            <w:br/>
            <w:r>
              <w:rPr/>
              <w:t xml:space="preserve">Ocenjujemo, da h kakovosti ŠP bistveno prispeva široka podpora, ki jo zagotavljajo študentom v povezavi z izvajanjem študijskega procesa koordinatorji, mentorji ter študentski referati (kar kažejo odlične ocene študentskih anket). Študentje zelo aktivno sodelujejo s svojimi mentorji in so z njihovo podporo zelo zadovoljni. Prav tako so močno pohvalili delo svetovalnih služb in samo infrastrukturo. Podatki so razvidni iz ankete. H kakovosti prispeva tudi vključenost doktorskih študentov v programske skupine, različne projekte ter številne obštudijske dejavnosti, ki jih nudijo univerza, fakulteta in različna društva. Na UL FFA imamo predstavnika doktorskih študentov, ki skrbi za organizacijo delavnic za doktorske študente in je odgovoren za povezovanje doktorskih študentov, obenem pa je tudi predstavnik doktorskih študentov tega študija v Programskem svetu.</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0" w:name="_Toc50"/>
      <w:r>
        <w:t>Priložnosti za izboljšave</w:t>
      </w:r>
      <w:bookmarkEnd w:id="50"/>
    </w:p>
    <w:p>
      <w:pPr/>
      <w:r>
        <w:rPr/>
        <w:t xml:space="preserve">Kje vidite priložnosti za izboljšave oz. na kakšen način menite, da bi bilo smiselno naslavljati izzive ŠP z vidika ZAGOTAVLJANJA PODPORE, SPODBUJANJA ŠTUDENTOV PRI ŠTUDIJU?</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MF Nevroznanost: formalizacija letnih srečanj mentorjev in študentov za spremljanje napredka in izmenjavo dobrih praks</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51" w:name="_Toc51"/>
      <w:r>
        <w:t>5.d USPEŠNOST IN UČINKOVITOST ŠTUDIJA: Praktično usposabljanje študentov </w:t>
      </w:r>
      <w:bookmarkEnd w:id="51"/>
    </w:p>
    <w:p>
      <w:pPr/>
      <w:r>
        <w:rPr/>
        <w:t xml:space="preserve">V tem poglavju opišite praktično usposabljanje, ki je organizirano kot samostojna učna enota.</w:t>
      </w:r>
    </w:p>
    <w:p>
      <w:pPr/>
      <w:r>
        <w:rPr/>
        <w:t xml:space="preserve">Če praktičnega usposabljanja NIMATE organiziranega kot samostojne učne enote, kliknite na spodnji gumb (</w:t>
      </w:r>
      <w:r>
        <w:rPr>
          <w:i w:val="1"/>
          <w:iCs w:val="1"/>
        </w:rPr>
        <w:t xml:space="preserve">Na ŠP nimamo organiziranega praktičnega usposabljanja kot samostojne učne enote</w:t>
      </w:r>
      <w:r>
        <w:rPr/>
        <w:t xml:space="preserve">) in to besedilo se bo izpisalo v vsa spodnja polja.</w:t>
      </w:r>
    </w:p>
    <w:p>
      <w:pPr/>
      <w:r>
        <w:rPr/>
        <w:t xml:space="preserve">Če imate elemente praktičnega usposabljanja, ki niso organizirani kot samostojna učna enota, jih opišite pri točki 5.č »Zagotavljanje podpore, spodbujanje študentov pri študiju«.</w:t>
      </w:r>
    </w:p>
    <w:p>
      <w:pPr>
        <w:sectPr>
          <w:type w:val="continuous"/>
          <w:pgSz w:orient="portrait" w:w="11905.511811023622" w:h="16837.79527559055"/>
          <w:pgMar w:top="1440" w:right="1440" w:bottom="1440" w:left="1440" w:header="720" w:footer="720" w:gutter="0"/>
          <w:cols w:num="1" w:space="720"/>
        </w:sectPr>
      </w:pPr>
    </w:p>
    <w:p/>
    <w:p>
      <w:pPr/>
      <w:r>
        <w:rPr/>
        <w:t xml:space="preserve">Na ŠP nimamo organiziranega praktičnega usposabljanja študentov kot samostojne učne enote.</w:t>
      </w:r>
    </w:p>
    <w:p>
      <w:pPr>
        <w:sectPr>
          <w:type w:val="continuous"/>
          <w:pgSz w:orient="portrait" w:w="11905.511811023622" w:h="16837.79527559055"/>
          <w:pgMar w:top="1440" w:right="1440" w:bottom="1440" w:left="1440" w:header="720" w:footer="720" w:gutter="0"/>
          <w:cols w:num="1" w:space="720"/>
        </w:sectPr>
      </w:pPr>
    </w:p>
    <w:p/>
    <w:p/>
    <w:p>
      <w:pPr>
        <w:pStyle w:val="Heading1"/>
      </w:pPr>
      <w:bookmarkStart w:id="52" w:name="_Toc52"/>
      <w:r>
        <w:t>5.e USPEŠNOST IN UČINKOVITOST ŠTUDIJA: Spodbujanje strokovnega razvoja zaposlenih in sodelujočih</w:t>
      </w:r>
      <w:bookmarkEnd w:id="52"/>
    </w:p>
    <w:p>
      <w:pPr/>
      <w:r>
        <w:rPr/>
        <w:t xml:space="preserve">Navedite aktivnosti, ki so vezane na ŠP.</w:t>
      </w:r>
    </w:p>
    <w:p>
      <w:pPr>
        <w:sectPr>
          <w:type w:val="continuous"/>
          <w:pgSz w:orient="portrait" w:w="11905.511811023622" w:h="16837.79527559055"/>
          <w:pgMar w:top="1440" w:right="1440" w:bottom="1440" w:left="1440" w:header="720" w:footer="720" w:gutter="0"/>
          <w:cols w:num="1" w:space="720"/>
        </w:sectPr>
      </w:pPr>
    </w:p>
    <w:p/>
    <w:p>
      <w:pPr>
        <w:pStyle w:val="Heading2"/>
      </w:pPr>
      <w:bookmarkStart w:id="53" w:name="_Toc53"/>
      <w:r>
        <w:t>Spodbujanje strokovnega razvoja zaposlenih in sodelujočih, ki izvajajo, podpirajo ŠP - Karierni razvoj </w:t>
      </w:r>
      <w:bookmarkEnd w:id="53"/>
    </w:p>
    <w:p>
      <w:pPr/>
      <w:r>
        <w:rPr/>
        <w:t xml:space="preserve">Kako skrbite za karierni razvoj visokošolskih učiteljev in sodelavcev, ki izvajajo ŠP? </w:t>
      </w:r>
    </w:p>
    <w:tbl>
      <w:tblGrid>
        <w:gridCol w:w="10000" w:type="dxa"/>
      </w:tblGrid>
      <w:tblPr>
        <w:tblStyle w:val="box"/>
      </w:tblPr>
      <w:tr>
        <w:trPr>
          <w:trHeight w:val="800" w:hRule="atLeast"/>
        </w:trPr>
        <w:tc>
          <w:tcPr>
            <w:tcW w:w="10000" w:type="dxa"/>
          </w:tcPr>
          <w:p>
            <w:pPr/>
            <w:r>
              <w:rPr/>
              <w:t xml:space="preserve">Zaposlenim na UL, ki sodelujejo pri izvedbi programa Biomedicina, so na voljo vse možnosti strokovnega razvoja, ki ga omogočajo in spodbujajo članice, koordinatorice posameznih polj programa Biomedicina. Dodatno pa imajo vsi sodelujoči, tudi zunanji sodelavci in strokovne sodelavke možnost kariernega razvoja tudi s pomočjo sredstev mobilnosti, ki jih v programu Biomedicina vsako leto namenjamo tem aktivnostim. Posebnosti po posameznih članicah - koordinatoricah v nadaljevanju:</w:t>
            </w:r>
            <w:br/>
            <w:r>
              <w:rPr/>
              <w:t xml:space="preserve"> </w:t>
            </w:r>
            <w:br/>
            <w:r>
              <w:rPr/>
              <w:t xml:space="preserve">Veterinarski fakulteti je bilo odobreno sofinanciranje za obisk mentorjev na tujih sodelujočih institucijah ter za obisk člana komisije pri zagovoru doktorske disertacije.</w:t>
            </w:r>
            <w:br/>
            <w:r>
              <w:rPr/>
              <w:t xml:space="preserve">Genetika: močno spodbujamo mednarodno izmenjavo učiteljev.</w:t>
            </w:r>
            <w:br/>
            <w:r>
              <w:rPr/>
              <w:t xml:space="preserve">FFA: Zaposleni pri prenosu znanja v prakso sodelujejo s Pisarno za prenos znanja UL. V letu 2024 sta dve ekipi z UL FFA prejeli sredstva sklada za izboljšanje tehnološkega procesa in navezavo stikov s potencialnimi razvojnimi partnerji. Prva ekipa deluje pod vodstvom prof. dr. Stanislava Gobca z naslovom: Razvoj večtarčne učinkovine za zdravljenje Alzheimerjeve bolezni, druga ekipa pa pod vodstvom izr. prof. dr. Špele Zupančič z naslovom: lnflamGuard Duo. Sodeloval smo na največjem slovenskem festivalu za grajenje inovacijske skupnosti in partnerstev med akademskim okoljem in gospodarstvom, ki je potekalo med 14. in 22. oktobrom 2024. Na UL FFA smo nadaljevali s prakso zaščite inovacijske dejavnosti, saj so zaposleni na UL FFA v letu 2024 vložili 3 mednarodne patentne prijave.   </w:t>
            </w:r>
            <w:br/>
            <w:r>
              <w:rPr/>
              <w:t xml:space="preserve">MF: Preko letnega razpisa za sofinanciranje mednarodne mobilnosti programa Biomedicina smo pridobili sofinanciranje za obiske predavateljev iz tujine, ki so izvedli delavnice, predavanja in razgovore z doktorskimi študenti, številni pa tudi raziskovalno sodelujejo s predavatelji in mentorji s področja Biokemija in molekularna biologija;  Louisse Paole Mirabueno, EMBL-EBI, Cambridge VB; Klementina Fon Tacer, Texas Tech University School of Veterinary Medicine, ZDA; Mikael Bensona, Inštitut Karolinska in Univerza Linkoeping, Švedska; Karl Storbeck, Stellenbosch University, JAR; Mikko Niemi, Univerza v Helsinkih, Finska; Adrián LLerena, Univerza Extremadura, Španija.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4" w:name="_Toc54"/>
      <w:r>
        <w:t>Spodbujanje strokovnega razvoja zaposlenih in sodelujočih, ki izvajajo, podpirajo ŠP - Usposabljanja za pridobitev pedagoških kompetenc</w:t>
      </w:r>
      <w:bookmarkEnd w:id="54"/>
    </w:p>
    <w:p>
      <w:pPr/>
      <w:r>
        <w:rPr/>
        <w:t xml:space="preserve">V kolikšni meri so se visokošolski učitelji in sodelavci ŠP usposabljali na področju pridobivanja dodatnih pedagoških kompetenc? (npr. inovativnega učenja in poučevanja, didaktike, odličnosti, mentoriranja) </w:t>
      </w:r>
    </w:p>
    <w:p>
      <w:pPr/>
      <w:r>
        <w:rPr/>
        <w:t xml:space="preserve">Navedite število vključitev posameznika v usposabljanja ter opišite obliko vključitve(npr. konference s področja učenja in poučevanja, neposredne oblike usposabljanja, druge oblike izobraževanj).</w:t>
      </w:r>
    </w:p>
    <w:p>
      <w:pPr>
        <w:spacing w:after="0"/>
      </w:pPr>
      <w:r>
        <w:rPr>
          <w:sz w:val="16"/>
          <w:szCs w:val="16"/>
          <w:i w:val="1"/>
          <w:iCs w:val="1"/>
        </w:rPr>
        <w:t xml:space="preserve">Polje je bilo izpolnjeno prejšnje leto</w:t>
      </w:r>
    </w:p>
    <w:tbl>
      <w:tblGrid>
        <w:gridCol w:w="10000" w:type="dxa"/>
      </w:tblGrid>
      <w:tblPr>
        <w:tblStyle w:val="box"/>
      </w:tblPr>
      <w:tr>
        <w:trPr>
          <w:trHeight w:val="800" w:hRule="atLeast"/>
        </w:trPr>
        <w:tc>
          <w:tcPr>
            <w:tcW w:w="10000" w:type="dxa"/>
          </w:tcPr>
          <w:p>
            <w:pPr/>
            <w:r>
              <w:rPr/>
              <w:t xml:space="preserve">Univerza v Ljubljani kot tudi posamezne fakultete izvajalke doktorskega programa Biomedicina omogočajo vsem zaposlenim stalno izobraževanje in usposabljanje. Kljub temu da so pedagogi v prvi vrsti sami odgovorni za lasten pedagoški in strokovni razvoj, je visokošolskim učiteljem in sodelavcem omogočena udeležba na številnih usposabljanjih in izobraževanjih, ki jih izvajamo na univerzi in na članicah, pa tudi svetovanje in pomoč v obliki letnih razgovorov, strokovno se izobražujejo in razvijajo na različnih mednarodnih dogodkih (Erasmus+ in druge izmenjave, sobotno leto, mednarodne konference itd.) ter tudi s sodelovanjem na mednarodnih in domačih projektih in iniciativah. Poleg univerzitetne ravni tudi na članicah organizirajo izobraževanja, posvetovanja in druge dogodke, specifične za področje ali potrebe članice in njihovih zaposlenih. </w:t>
            </w:r>
            <w:br/>
            <w:r>
              <w:rPr/>
              <w:t xml:space="preserve"/>
            </w:r>
            <w:br/>
            <w:r>
              <w:rPr/>
              <w:t xml:space="preserve">Poleg usposabljanj za učenje in poučevanje so za pedagoške delavce pomembna še splošna usposabljanja, namenjena vsem zaposlenim (komunikacija, organizacija, vodenje, IT, tuji jeziki itd.); usposabljanja za raziskovalce, usposabljanja za mentorstvo na doktorskem študiju. Usposabljanja za inovativne oblike učenja in poučevanja se zdaj izvajajo v okviru Centra Digitalna UL,  katerih namen je izboljševati kakovost visokošolskega izobraževanja z uvedbo prožnejših, sodobnih oblik učenja in poučevanja.</w:t>
            </w:r>
            <w:br/>
            <w:r>
              <w:rPr/>
              <w:t xml:space="preserve"/>
            </w:r>
            <w:br/>
            <w:r>
              <w:rPr/>
              <w:t xml:space="preserve">Poimenski seznami vseh izobraževanj in usposabljanja so v kadrovskih službah članic izvajalk.</w:t>
            </w:r>
            <w:br/>
            <w:r>
              <w:rPr/>
              <w:t xml:space="preserve"/>
            </w:r>
            <w:br/>
            <w:r>
              <w:rPr/>
              <w:t xml:space="preserve">Prav tako imamo s pravilnikom urejeno sobotno leto, ki pa še ni zaživelo v polnem obsegu, predvsem zaradi kadrovskih omejitev nadomeščanja posameznika v času sobotnega leta.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5" w:name="_Toc55"/>
      <w:r>
        <w:t>Spodbujanje strokovnega razvoja zaposlenih in sodelujočih, ki izvajajo, podpirajo ŠP - Mednarodna mobilnost</w:t>
      </w:r>
      <w:bookmarkEnd w:id="55"/>
    </w:p>
    <w:p>
      <w:pPr/>
      <w:r>
        <w:rPr/>
        <w:t xml:space="preserve">Navedite obseg mednarodne mobilnosti visokošolskih učiteljev in sodelavcev ter strokovnih sodelavcev, ki neposredno sodelujejo pri izvedbi in podpori ŠP.</w:t>
      </w:r>
    </w:p>
    <w:tbl>
      <w:tblGrid>
        <w:gridCol w:w="10000" w:type="dxa"/>
      </w:tblGrid>
      <w:tblPr>
        <w:tblStyle w:val="box"/>
      </w:tblPr>
      <w:tr>
        <w:trPr>
          <w:trHeight w:val="800" w:hRule="atLeast"/>
        </w:trPr>
        <w:tc>
          <w:tcPr>
            <w:tcW w:w="10000" w:type="dxa"/>
          </w:tcPr>
          <w:p>
            <w:pPr/>
            <w:r>
              <w:rPr/>
              <w:t xml:space="preserve">Mednarodna mobilnost visokošolskih učiteljev je zagotovljena v okviru mednarodnih projektov, CEEPUS mrež, bilateralnih projektov ter programov Erasmus +. Koristimo tudi možnost sofinanciranja v okviru mednarodne mobilnosti učiteljev, ki jo omogoča Programski svet Biomedicina.</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6" w:name="_Toc56"/>
      <w:r>
        <w:t>Spodbujanje strokovnega razvoja zaposlenih in sodelujočih, ki izvajajo, podpirajo ŠP - Znanstveno - raziskovalno delo in razvojno delo</w:t>
      </w:r>
      <w:bookmarkEnd w:id="56"/>
    </w:p>
    <w:p>
      <w:pPr/>
      <w:r>
        <w:rPr/>
        <w:t xml:space="preserve">Ali imajo visokošolski učitelji ustrezne možnosti za znanstveno-raziskovalno in razvojno delo?Kako jih pri tem podpira fakulteta/akademija?</w:t>
      </w:r>
    </w:p>
    <w:tbl>
      <w:tblGrid>
        <w:gridCol w:w="10000" w:type="dxa"/>
      </w:tblGrid>
      <w:tblPr>
        <w:tblStyle w:val="box"/>
      </w:tblPr>
      <w:tr>
        <w:trPr>
          <w:trHeight w:val="800" w:hRule="atLeast"/>
        </w:trPr>
        <w:tc>
          <w:tcPr>
            <w:tcW w:w="10000" w:type="dxa"/>
          </w:tcPr>
          <w:p>
            <w:pPr/>
            <w:r>
              <w:rPr/>
              <w:t xml:space="preserve">Infrastruktura za raziskovalno delo je vezana pretežno na fakulteto izvajalko oz. koordinatorico znanstvenega področja, deloma na sodelujoče inštitute, deloma na zunanje institucije. Moramo poudariti, da kar tri ključne izvajalke (MF, FFA in VF) občutijo težave zaradi premajhnega obsega in neustreznosti prostorov. To daleč presega pristojnosti in domet Programskega sveta kot koordinacijskega organa. Potekajo pa na vseh treh članicah že leta aktivnosti za novogradnje, ki so se na VF in MF  začele že v 2023-24, na FFA pa so pridobili 2024. gradbeno dovoljenje in so v fazi razpisov za izgradnjo. V vseh treh primerih so vključena vodstva članic in vodstvo UL preko pristojnih ministrstev (različni viri) za dolgoročno izboljšanje stanja. NA MF se bodo z novimi prostori izboljšale predvsem razmere za predklinično raziskovalno delo, v novi stavbi pa bo tudi nov Medicinski raziskovalni center s prostori za biobanko, celotna infrastruktura za delo na poskusnih živalih, ter laboratoriji za genomiko, transkriptomiko, proteomiko, metabolomiko ter raziskave zunajceličnih veziklov.  </w:t>
            </w:r>
            <w:br/>
            <w:r>
              <w:rPr/>
              <w:t xml:space="preserve"> </w:t>
            </w:r>
            <w:br/>
            <w:r>
              <w:rPr/>
              <w:t xml:space="preserve">Spodbujamo tudi mednarodno mobilnost učiteljev. Med zaposlenimi so se v letu 2024 trije visokošolski učitelji oziroma znanstveni sodelavci udeležili izmenjav v tujini v trajanju od dveh do treh mesecev, medtem ko so se štirje administrativni sodelavci vključili v krajše mobilnosti, ki so trajale do enega meseca. Na UL FFA so v tem obdobju gostili 16 tujih učiteljev in 9 raziskovalcev, pri čemer se je en učitelj udeležil kombinirane mobilnosti. Skupno je tako na fakulteti v okviru različnih programov mobilnosti sodelovalo 27 tujih strokovnjakov, ki so dejavno prispevali k pedagoškemu in raziskovalnemu delu ter k krepitvi mednarodnega akademskega sodelovanja.</w:t>
            </w:r>
            <w:br/>
            <w:r>
              <w:rPr/>
              <w:t xml:space="preserve">Na MF so preko letnega razpisa za sofinanciranje mednarodne mobilnosti programa Biomedicina realizirali obisk šestih  predavateljev iz tujine, ki so izvedli delavnice, predavanja in razgovore z doktorskimi študenti, številni pa tudi raziskovalno sodelujejo s predavatelji in mentorji s področja Biokemija in molekularna biologija;  Louisse Paole Mirabueno, EMBL-EBI, Cambridge VB; Klementina Fon Tacer, Texas Tech University School of Veterinary Medicine, ZDA; Mikael Bensona, Inštitut Karolinska in Univerza Linkoeping, Švedska; Karl Storbeck, Stellenbosch University, JAR; Mikko Niemi, Univerza v Helsinkih, Finska; Adrián LLerena, Univerza Extremadura, Španija.  </w:t>
            </w:r>
            <w:br/>
            <w:r>
              <w:rPr/>
              <w:t xml:space="preserve"/>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7" w:name="_Toc57"/>
      <w:r>
        <w:t>Spodbujanje strokovnega razvoja zaposlenih in sodelujočih, ki izvajajo, podpirajo ŠP - Organizacijska klima</w:t>
      </w:r>
      <w:bookmarkEnd w:id="57"/>
    </w:p>
    <w:p>
      <w:pPr/>
      <w:r>
        <w:rPr/>
        <w:t xml:space="preserve">Kako skrbite za organizacijsko klimo na ŠP?(Upoštevajte tudi izsledke iz merjenja zadovoljstva, letnih razgovorov itd.)</w:t>
      </w:r>
    </w:p>
    <w:tbl>
      <w:tblGrid>
        <w:gridCol w:w="10000" w:type="dxa"/>
      </w:tblGrid>
      <w:tblPr>
        <w:tblStyle w:val="box"/>
      </w:tblPr>
      <w:tr>
        <w:trPr>
          <w:trHeight w:val="800" w:hRule="atLeast"/>
        </w:trPr>
        <w:tc>
          <w:tcPr>
            <w:tcW w:w="10000" w:type="dxa"/>
          </w:tcPr>
          <w:p>
            <w:pPr/>
            <w:r>
              <w:rPr/>
              <w:t xml:space="preserve">Organizacijsko klimo na ŠP je težko meriti, saj procesi potekajo zaradi same narave raziskovalnega dela in interdisciplinarnosti ŠP zelo razpršeno. Na ravni programa organiziramo redne seje Programskega sveta, na katere so vabljeni tudi koordinatorji in njihovi namestniki, da imamo vsaj nekajkrat na leto skupno srečanje in izmenjavo mnenj in izkušenj, tudi če niso vezana samo na operativno delo. Kot koordinacijsko telo se zavedamo, da je odločevanje na ravni senatov članic in senata UL, večina dela s študenti pa na strokovnih službah članic (študentski in raziskovalni referati) ter Rektorata (Služba za doktorski študij). Pri delu se trudimo za ustrezno in pravočasno obveščanje ter spoštljivo komunikacijo, saj je skupen interes kakovosten študij in odlični doktorati.</w:t>
            </w:r>
            <w:br/>
            <w:r>
              <w:rPr/>
              <w:t xml:space="preserve"/>
            </w:r>
            <w:br/>
            <w:r>
              <w:rPr/>
              <w:t xml:space="preserve">Enkrat letno organiziramo letno srečanje vseh deležnikov, kar smo kljub nekoliko šibkemu odzivu v 2024 nadaljevali tudi v 2025. S tem naslavljamo priporočilo NAKVIS glede vključevanja deležnikov okolja ter delodajalcev, ki imajo tako možnost povedati svoje mnenje, obenem pa jim to omogočamo tudi v razgovorih z vodstvi fakultet in posameznimi izvajalci programa, s katerimi sodelujejo. Poleg navedenega pa smo izvedli tudi skupno srečanje študentov Biomedicine. </w:t>
            </w:r>
            <w:br/>
            <w:r>
              <w:rPr/>
              <w:t xml:space="preserve"/>
            </w:r>
            <w:br/>
            <w:r>
              <w:rPr/>
              <w:t xml:space="preserve">Pomemben del ustvarjanja spodbudnega delovnega vzdušja so raziskovalne skupine in katedre na članicah, ki organizirajo dodatna srečanja v okviru znanstvenih področij ali cele članice, in mentorji s predstavitvijo ciljev, izvajanje predmetnika, rezultatov anket, ipd. </w:t>
            </w:r>
            <w:br/>
            <w:r>
              <w:rPr/>
              <w:t xml:space="preserve"/>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8" w:name="_Toc58"/>
      <w:r>
        <w:t>Spodbujanje strokovnega razvoja zaposlenih in sodelujočih, ki izvajajo, podpirajo ŠP - Kadrovska struktura</w:t>
      </w:r>
      <w:bookmarkEnd w:id="58"/>
    </w:p>
    <w:p>
      <w:pPr/>
      <w:r>
        <w:rPr/>
        <w:t xml:space="preserve">Ali ocenjujete kadrovsko strukturo kot ustrezno in kako vpliva na izvedbo ŠP?</w:t>
      </w:r>
    </w:p>
    <w:tbl>
      <w:tblGrid>
        <w:gridCol w:w="10000" w:type="dxa"/>
      </w:tblGrid>
      <w:tblPr>
        <w:tblStyle w:val="box"/>
      </w:tblPr>
      <w:tr>
        <w:trPr>
          <w:trHeight w:val="800" w:hRule="atLeast"/>
        </w:trPr>
        <w:tc>
          <w:tcPr>
            <w:tcW w:w="10000" w:type="dxa"/>
          </w:tcPr>
          <w:p>
            <w:pPr/>
            <w:r>
              <w:rPr/>
              <w:t xml:space="preserve">Kadrovsko strukturo ocenjujemo kot ustrezno. V ŠP Biomedicina so vključeni najboljši pedagogi in raziskovalci biomedicinskih področij na UL in sodelujočih inštitutih. Strokovne službe imajo dolgoletne izkušnje in v skupnem sodelovanju razvijamo ustrezno organizacijsko kulturo.</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59" w:name="_Toc59"/>
      <w:r>
        <w:t>Ocena oz. vrednotenje</w:t>
      </w:r>
      <w:bookmarkEnd w:id="59"/>
    </w:p>
    <w:p>
      <w:pPr/>
      <w:r>
        <w:rPr/>
        <w:t xml:space="preserve">Ocenite učinke zgoraj navedenih elementov/aktivnosti na kakovost ŠP. </w:t>
      </w:r>
    </w:p>
    <w:p>
      <w:pPr/>
      <w:r>
        <w:rPr/>
        <w:t xml:space="preserve">Oceno, če je le mogoče, podprite (npr. z navedbo učinka, z ugotovitvami, povratnimi informacijami, primeri uspešnega vpeljevanja aktivnosti).</w:t>
      </w:r>
    </w:p>
    <w:tbl>
      <w:tblGrid>
        <w:gridCol w:w="10000" w:type="dxa"/>
      </w:tblGrid>
      <w:tblPr>
        <w:tblStyle w:val="box"/>
      </w:tblPr>
      <w:tr>
        <w:trPr>
          <w:trHeight w:val="800" w:hRule="atLeast"/>
        </w:trPr>
        <w:tc>
          <w:tcPr>
            <w:tcW w:w="10000" w:type="dxa"/>
          </w:tcPr>
          <w:p>
            <w:pPr/>
            <w:r>
              <w:rPr/>
              <w:t xml:space="preserve">O kakovosti kadrovske strukture na ŠP govorijo zgoraj omenjeni dosežki, številne objave v znanstvenih revijah, odlično ocenjene programske skupine, prejete nagrade ter številni pridobljeni domači, mednarodni ter industrijski projekti. </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60" w:name="_Toc60"/>
      <w:r>
        <w:t>Priložnosti za izboljšave</w:t>
      </w:r>
      <w:bookmarkEnd w:id="60"/>
    </w:p>
    <w:p>
      <w:pPr/>
      <w:r>
        <w:rPr/>
        <w:t xml:space="preserve">Kje vidite priložnosti za izboljšave oz. na kakšen način menite, da bi bilo smiselno naslavljati izzive ŠP z vidika SPODBUJANJA STROKOVNEGA RAZVOJA ZAPOSLENIH IN SODELUJOČIH? </w:t>
      </w:r>
    </w:p>
    <w:p>
      <w:pPr/>
      <w:r>
        <w:rPr>
          <w:i w:val="1"/>
          <w:iCs w:val="1"/>
        </w:rPr>
        <w:t xml:space="preserve">Zapisano bo prikazano v tabeli s predlogi izboljšav (zadnja tabela, drugi stolpec). </w:t>
      </w:r>
    </w:p>
    <w:p>
      <w:pPr/>
      <w:r>
        <w:rPr>
          <w:i w:val="1"/>
          <w:iCs w:val="1"/>
        </w:rPr>
        <w:t xml:space="preserve">Če priložnosti za izboljšave trenutno ne vidite, izberite možnost "Za to področje ni predvidenih ukrepov."</w:t>
      </w:r>
    </w:p>
    <w:tbl>
      <w:tblGrid>
        <w:gridCol w:w="10000" w:type="dxa"/>
      </w:tblGrid>
      <w:tblPr>
        <w:tblStyle w:val="box"/>
      </w:tblPr>
      <w:tr>
        <w:trPr>
          <w:trHeight w:val="100" w:hRule="atLeast"/>
        </w:trPr>
        <w:tc>
          <w:tcPr>
            <w:tcW w:w="10000" w:type="dxa"/>
          </w:tcPr>
          <w:p>
            <w:pPr/>
            <w:r>
              <w:rPr/>
              <w:t xml:space="preserve">Bolje koriščenje delnega pedagoškega razbremenjevanja učiteljev, da se jim omogoči večji obseg raziskovalnega dela, katerega rezultate potem tudi prenašajo v pouk. </w:t>
            </w:r>
          </w:p>
        </w:tc>
      </w:tr>
    </w:tbl>
    <w:tbl>
      <w:tblGrid>
        <w:gridCol w:w="10000" w:type="dxa"/>
      </w:tblGrid>
      <w:tblPr>
        <w:tblStyle w:val="box"/>
      </w:tblPr>
      <w:tr>
        <w:trPr>
          <w:trHeight w:val="100" w:hRule="atLeast"/>
        </w:trPr>
        <w:tc>
          <w:tcPr>
            <w:tcW w:w="10000" w:type="dxa"/>
          </w:tcPr>
          <w:p>
            <w:pPr/>
            <w:r>
              <w:rPr/>
              <w:t xml:space="preserve">Spodbujanje učiteljev za udeležbo na pedagoških usposabljanjih.</w:t>
            </w:r>
          </w:p>
        </w:tc>
      </w:tr>
    </w:tbl>
    <w:p>
      <w:pPr>
        <w:sectPr>
          <w:type w:val="continuous"/>
          <w:pgSz w:orient="portrait" w:w="11905.511811023622" w:h="16837.79527559055"/>
          <w:pgMar w:top="1440" w:right="1440" w:bottom="1440" w:left="1440" w:header="720" w:footer="720" w:gutter="0"/>
          <w:cols w:num="1" w:space="720"/>
        </w:sectPr>
      </w:pPr>
    </w:p>
    <w:p/>
    <w:p/>
    <w:p>
      <w:pPr>
        <w:pStyle w:val="Heading1"/>
      </w:pPr>
      <w:bookmarkStart w:id="61" w:name="_Toc61"/>
      <w:r>
        <w:t>6. Spremljanje in razvoj ŠP ter priprava samoevalvacijskega poročila </w:t>
      </w:r>
      <w:bookmarkEnd w:id="61"/>
    </w:p>
    <w:p>
      <w:pPr>
        <w:sectPr>
          <w:type w:val="continuous"/>
          <w:pgSz w:orient="portrait" w:w="11905.511811023622" w:h="16837.79527559055"/>
          <w:pgMar w:top="1440" w:right="1440" w:bottom="1440" w:left="1440" w:header="720" w:footer="720" w:gutter="0"/>
          <w:cols w:num="1" w:space="720"/>
        </w:sectPr>
      </w:pPr>
    </w:p>
    <w:p/>
    <w:p>
      <w:pPr>
        <w:pStyle w:val="Heading2"/>
      </w:pPr>
      <w:bookmarkStart w:id="62" w:name="_Toc62"/>
      <w:r>
        <w:t>Priprava samoevalvacijskega poročila - Deležniki</w:t>
      </w:r>
      <w:bookmarkEnd w:id="62"/>
    </w:p>
    <w:p>
      <w:pPr/>
      <w:r>
        <w:rPr/>
        <w:t xml:space="preserve">Katere deležnike in na kakšen način ste vključili v pogovore, razvoj ŠP, načrtovanje ukrepov, spremljanje njihovega uresničevanja ter pripravo samoevalvacijskih poročil? (npr. VŠ učitelje in sodelavce, mentorje, študente, alumne, strokovne sodelavce, zunanje sodelavce, delodajalce - tudi v povezavi s praktičnim usposabljanjem, druge deležnike/širše okolje)</w:t>
      </w:r>
    </w:p>
    <w:tbl>
      <w:tblGrid>
        <w:gridCol w:w="10000" w:type="dxa"/>
      </w:tblGrid>
      <w:tblPr>
        <w:tblStyle w:val="box"/>
      </w:tblPr>
      <w:tr>
        <w:trPr>
          <w:trHeight w:val="800" w:hRule="atLeast"/>
        </w:trPr>
        <w:tc>
          <w:tcPr>
            <w:tcW w:w="10000" w:type="dxa"/>
          </w:tcPr>
          <w:p>
            <w:pPr/>
            <w:r>
              <w:rPr/>
              <w:t xml:space="preserve">Samoevalvacijo ŠP izvajamo na dve leti. Kljub temu smo se odločili, da tudi za študijski leti 2023/2024 in 2024/2025 pripravimo samoevalvacijsko poročilo ŠP. V 2024/2025 smo preverjali  možnosti za bolj optimalno pripravo poročila, tako da bi zagotovili zadosti časa za ustrezno vsebinsko razpravo in zmanjšali (pre)velika ponavljanja besedil. V 2024/2025 pa smo predvideni model preizkusili v praksi tudi izvesti.</w:t>
            </w:r>
            <w:br/>
            <w:r>
              <w:rPr/>
              <w:t xml:space="preserve"/>
            </w:r>
            <w:br/>
            <w:r>
              <w:rPr/>
              <w:t xml:space="preserve">V pripravo poročila so bili vključeni v prvi vrsti koordinatorji vseh študijskih področij, izvajalci programa, mentorji, predstavnik študentov na doktorskem študiju, študentje, delodajalci in strokovne službe članic za doktorski študij. Poleg njih pa tudi člani Programskega sveta in drugi zunanji sodelavci, ki sodelujejo pri izvajanju programa. V pogovore o izvajanju programa so bili na Medicinski fakulteti in Fakulteti za farmacijo vključeni učitelji temeljnih in izbirnih predmetov. Izvajalci temeljnih predmetov se redno sestajajo pred začetkom izvajanja predavanj in pri načrtovanju vsebin in izvedbe upoštevajo rezultate predmetnih anket in druge predloge študentov. Preko UL ankete in pogovorov pa so v razvoj študijskega programa, načrtovanje ukrepov, spremljanje njihovega uresničevanja ter pripravo samoevalvacijskih poročil vključeni tudi študentje. Veliko pripomb in predlogov študentov za izboljšave koordinatorji znanstvenih področij pridobijo ob neposrednem stiku s študenti, iz študentskih anket in na predavanjih. Njihovi predlogi za izboljšave se upoštevajo pri posodobitvah učnih načrtov. Študenti s svojimi predlogi, ki jih podajo v anketah ali posredujejo pisno po e-pošti v referat članice ali koordinatorju področja ali nosilcem/izvajalcem učnih enot, prav tako pomembno sodelujejo pri nastajanju sprememb programa oziroma njegovih posodobitvah. Deležniki, ki s svojimi predlogi sodelujejo pri nastanku ukrepov, sodelujejo pri uresničevanju le teh.</w:t>
            </w:r>
            <w:br/>
            <w:r>
              <w:rPr/>
              <w:t xml:space="preserve"/>
            </w:r>
            <w:br/>
            <w:r>
              <w:rPr/>
              <w:t xml:space="preserve">Koordinatorji za vsako obdobje evalvacije pripravijo delna samoevalvacijska poročila za področje, ki ga koordinirajo in ki služi pripravi skupnega samoevalvacijskega poročila za članico in nato za študijski program kot celoto. Koordinatorji tudi preko komunikacije z nosilci in izvajalci programa na članici skrbijo za posodabljanje vsebin in sprotno odpravljanje vzrokov in pomanjkljivosti v programu. V ta proces so vodstva fakultet vključena preko komisij za doktorski študij, ki potrjujejo samoevalvacijsko poročilo, in preko senata, ki na osnovi predlogov sprememb samoevalvacijska poročila potrjuje in sprejema potrebne spremembe. Po sprejemu skupnega samoevalvacijskega poročila za program Biomedicina na Programskem svetu, člani in koordinatorji področij kot predstavniki posameznih članic s skupnim poročilom seznanijo senat članice. </w:t>
            </w:r>
            <w:br/>
            <w:r>
              <w:rPr/>
              <w:t xml:space="preserve"/>
            </w:r>
            <w:br/>
            <w:r>
              <w:rPr/>
              <w:t xml:space="preserve">Proces priprave samoevalvacijskega poročila je zastavljen tako, da omogoča sodelovanje različnih deležnikov in prispeva k celoviti oceni kakovosti doktorskega programa Biomedicina.</w:t>
            </w:r>
            <w:br/>
            <w:r>
              <w:rPr/>
              <w:t xml:space="preserve"/>
            </w:r>
            <w:br/>
            <w:r>
              <w:rPr/>
              <w:t xml:space="preserve">Končno samoevalvacijsko poročilo je objavljeno na spletni strani programa Biomedicina ter tako dostopno zunanjim deležnikom. Prav tako se zunanji deležniki s posameznimi vidiki samoevalvacijskega poročila seznanijo na letnem srečanju programa Biomedicina. Z navedenim smo naslovili priporočilo NAKVIS, podano v okviru vzorčne evalvacije programa, glede oblikovanja protokola za poročanje zunanjim deležnikom o rezultatih samoevalvacije. Obenem se s tem odzivamo tudi na priporočilo v zvezi z zagotavljanjem zaključevanja zanke kakovosti.</w:t>
            </w:r>
          </w:p>
        </w:tc>
      </w:tr>
    </w:tbl>
    <w:p>
      <w:pPr>
        <w:sectPr>
          <w:type w:val="continuous"/>
          <w:pgSz w:orient="portrait" w:w="11905.511811023622" w:h="16837.79527559055"/>
          <w:pgMar w:top="1440" w:right="1440" w:bottom="1440" w:left="1440" w:header="720" w:footer="720" w:gutter="0"/>
          <w:cols w:num="1" w:space="720"/>
        </w:sectPr>
      </w:pPr>
    </w:p>
    <w:p/>
    <w:p>
      <w:pPr>
        <w:pStyle w:val="Heading2"/>
      </w:pPr>
      <w:bookmarkStart w:id="63" w:name="_Toc63"/>
      <w:r>
        <w:t>Priprava samoevalvacijskega poročila - Postopek priprave</w:t>
      </w:r>
      <w:bookmarkEnd w:id="63"/>
    </w:p>
    <w:p>
      <w:pPr/>
      <w:r>
        <w:rPr/>
        <w:t xml:space="preserve">Na kratko opišite postopek priprave samoevalvacijskega poročila (Kdo ga je pripravil, kako ste ga obravnavali itd.).</w:t>
      </w:r>
    </w:p>
    <w:tbl>
      <w:tblGrid>
        <w:gridCol w:w="10000" w:type="dxa"/>
      </w:tblGrid>
      <w:tblPr>
        <w:tblStyle w:val="box"/>
      </w:tblPr>
      <w:tr>
        <w:trPr>
          <w:trHeight w:val="800" w:hRule="atLeast"/>
        </w:trPr>
        <w:tc>
          <w:tcPr>
            <w:tcW w:w="10000" w:type="dxa"/>
          </w:tcPr>
          <w:p>
            <w:pPr/>
            <w:r>
              <w:rPr/>
              <w:t xml:space="preserve">Samoevalvacijsko poročilo smo želeli skladno z ugotovljeno najugodnejšo dinamiko začeti pripravljati septembra 2025 neposredno v spletni aplikaciji. Ker je bila aplikacija odprta šele oktobra, nam je to onemogočilo predvideno dinamiko priprave: koordinatorji, strokovne službe in vodstvo PS, PS, delovno gradivo na senate članic, priprava in potrditev končne verzije na PS po pooblastilu senatov članic. Zaradi velike obremenjenosti koordinatorjev in članov PS v oktobru se je zamuda nato povečevala, zato je delovno gradivo pripravljeno šele sredi decembra, kar otežuje uporabo delovnega poročila za razpravo na decembrskih sejah senatov članic. Tu vidimo tudi možnost izboljšave priprave poročila, in sicer z omogočanjem uporabe spletne aplikacije že septembra. Zavedati se moramo, da je PS koordinacijsko telo in da potrjevanja potekajo po dvokrožnem sistemu na senatih članic koordinatoric programa. Delovna verzija poročila je bila pripravljena v drugi polovici decembra, potrjena na dopisni seji PS in poslana vodstvom članic v končne opombe in hkrati v uporabo za poslovna poročila s poročili o kakovosti. Po pooblastilu senatov je PS februarja 2026 dopolnil in potrdil SEP, vodstvo je opravilo še pregled in redakcijske popravke. </w:t>
            </w:r>
          </w:p>
        </w:tc>
      </w:tr>
    </w:tbl>
    <w:p>
      <w:pPr>
        <w:sectPr>
          <w:type w:val="continuous"/>
          <w:pgSz w:orient="portrait" w:w="11905.511811023622" w:h="16837.79527559055"/>
          <w:pgMar w:top="1440" w:right="1440" w:bottom="1440" w:left="1440" w:header="720" w:footer="720" w:gutter="0"/>
          <w:cols w:num="1" w:space="720"/>
        </w:sectPr>
      </w:pPr>
    </w:p>
    <w:p>
      <w:pPr>
        <w:pStyle w:val="Heading1"/>
      </w:pPr>
      <w:bookmarkStart w:id="64" w:name="_Toc64"/>
      <w:r>
        <w:t>Pregled realizacije ukrepov in predlogi izboljšav</w:t>
      </w:r>
      <w:bookmarkEnd w:id="64"/>
    </w:p>
    <w:p>
      <w:pPr>
        <w:sectPr>
          <w:pgSz w:orient="landscape" w:w="16837.79527559055" w:h="11905.511811023622"/>
          <w:pgMar w:top="1440" w:right="1440" w:bottom="1440" w:left="1440" w:header="720" w:footer="720" w:gutter="0"/>
          <w:cols w:num="1" w:space="720"/>
        </w:sectPr>
      </w:pPr>
    </w:p>
    <w:p/>
    <w:tbl>
      <w:tblGrid>
        <w:gridCol w:w="500" w:type="dxa"/>
        <w:gridCol w:w="4600" w:type="dxa"/>
        <w:gridCol w:w="4600" w:type="dxa"/>
        <w:gridCol w:w="4600" w:type="dxa"/>
      </w:tblGrid>
      <w:tblPr>
        <w:tblStyle w:val="table"/>
      </w:tblPr>
      <w:tr>
        <w:trPr>
          <w:trHeight w:val="300" w:hRule="atLeast"/>
        </w:trPr>
        <w:tc>
          <w:tcPr>
            <w:tcW w:w="500" w:type="dxa"/>
            <w:shd w:val="clear" w:fill="f5f5f5"/>
          </w:tcPr>
          <w:p>
            <w:pPr/>
            <w:r>
              <w:rPr>
                <w:b w:val="1"/>
                <w:bCs w:val="1"/>
              </w:rPr>
              <w:t xml:space="preserve"> Št. pogl-avja</w:t>
            </w:r>
          </w:p>
        </w:tc>
        <w:tc>
          <w:tcPr>
            <w:tcW w:w="4600" w:type="dxa"/>
            <w:shd w:val="clear" w:fill="f5f5f5"/>
          </w:tcPr>
          <w:p>
            <w:pPr/>
            <w:r>
              <w:rPr>
                <w:b w:val="1"/>
                <w:bCs w:val="1"/>
              </w:rPr>
              <w:t xml:space="preserve">Ukrepi iz predhodne samoevalvacije</w:t>
            </w:r>
          </w:p>
        </w:tc>
        <w:tc>
          <w:tcPr>
            <w:tcW w:w="4600" w:type="dxa"/>
            <w:shd w:val="clear" w:fill="f5f5f5"/>
          </w:tcPr>
          <w:p>
            <w:pPr/>
            <w:r>
              <w:rPr>
                <w:b w:val="1"/>
                <w:bCs w:val="1"/>
              </w:rPr>
              <w:t xml:space="preserve">Status ukrepa</w:t>
            </w:r>
          </w:p>
        </w:tc>
        <w:tc>
          <w:tcPr>
            <w:tcW w:w="4600" w:type="dxa"/>
            <w:shd w:val="clear" w:fill="f5f5f5"/>
          </w:tcPr>
          <w:p>
            <w:pPr/>
            <w:r>
              <w:rPr>
                <w:b w:val="1"/>
                <w:bCs w:val="1"/>
              </w:rPr>
              <w:t xml:space="preserve">Dodatna obrazložitev statusa</w:t>
            </w:r>
          </w:p>
        </w:tc>
      </w:tr>
      <w:tr>
        <w:trPr>
          <w:trHeight w:val="300" w:hRule="atLeast"/>
        </w:trPr>
        <w:tc>
          <w:tcPr>
            <w:tcW w:w="500" w:type="dxa"/>
            <w:shd w:val="clear" w:fill="f5f5f5"/>
          </w:tcPr>
          <w:p>
            <w:pPr/>
            <w:r>
              <w:rPr>
                <w:sz w:val="18"/>
                <w:szCs w:val="18"/>
                <w:i w:val="1"/>
                <w:iCs w:val="1"/>
              </w:rPr>
              <w:t xml:space="preserve"/>
            </w:r>
          </w:p>
        </w:tc>
        <w:tc>
          <w:tcPr>
            <w:tcW w:w="4600" w:type="dxa"/>
            <w:shd w:val="clear" w:fill="f5f5f5"/>
          </w:tcPr>
          <w:p>
            <w:pPr/>
            <w:r>
              <w:rPr>
                <w:sz w:val="18"/>
                <w:szCs w:val="18"/>
                <w:i w:val="1"/>
                <w:iCs w:val="1"/>
              </w:rPr>
              <w:t xml:space="preserve"/>
            </w:r>
          </w:p>
        </w:tc>
        <w:tc>
          <w:tcPr>
            <w:tcW w:w="4600" w:type="dxa"/>
            <w:shd w:val="clear" w:fill="f5f5f5"/>
          </w:tcPr>
          <w:p>
            <w:pPr/>
            <w:r>
              <w:rPr>
                <w:sz w:val="18"/>
                <w:szCs w:val="18"/>
                <w:i w:val="1"/>
                <w:iCs w:val="1"/>
              </w:rPr>
              <w:t xml:space="preserve"/>
            </w:r>
          </w:p>
        </w:tc>
        <w:tc>
          <w:tcPr>
            <w:tcW w:w="4600" w:type="dxa"/>
            <w:shd w:val="clear" w:fill="f5f5f5"/>
          </w:tcPr>
          <w:p>
            <w:pPr/>
            <w:r>
              <w:rPr>
                <w:sz w:val="18"/>
                <w:szCs w:val="18"/>
                <w:i w:val="1"/>
                <w:iCs w:val="1"/>
              </w:rPr>
              <w:t xml:space="preserve"/>
            </w:r>
          </w:p>
        </w:tc>
      </w:tr>
      <w:tr>
        <w:trPr>
          <w:trHeight w:val="300" w:hRule="atLeast"/>
        </w:trPr>
        <w:tc>
          <w:tcPr>
            <w:tcW w:w="500" w:type="dxa"/>
          </w:tcPr>
          <w:p>
            <w:pPr/>
            <w:r>
              <w:rPr/>
              <w:t xml:space="preserve">2.</w:t>
            </w:r>
          </w:p>
        </w:tc>
        <w:tc>
          <w:tcPr>
            <w:tcW w:w="4600" w:type="dxa"/>
          </w:tcPr>
          <w:p>
            <w:pPr/>
            <w:r>
              <w:rPr/>
              <w:t xml:space="preserve">a/ Uvedba dodatnih izobraževanj, delavnic (MF; FFA) in raziskovalnih srečanj doktorandov (npr organizacija simpozija doktorskih študentov na UL FFA z željo, da postane tradicionalen dogodek, na katerem doktorski študenti predstavljajo svoje raziskovalne dosežke.
b/ Nova porazdelitev vsebin po modulih temeljnega predmeta Javno zdravje.Nakup nove raziskovalne opreme, uvajanjem novih metod, intenzivnejše povezovanje okviru infrastrukturnih centrov UL za uporabo skupne opreme. Sodelovanje raziskovalno najbolj uspešnih raziskovalcev in pedagoških delavcev (VF),
c/ MF izvedba dodatnih seminarjev za vse študente.Promocija modulov in predmetov izbirnosti na to tematiko, 
d/ izpostavljanje doktorandov mednarodnemu okolju: kongresi, delavnice, bivanja v tujini in prenos raziskovalnih tehnik, vključevanje tujih strokovnjakov v komisije in pedagoško delo (MF)
e/ Spodbujanje študentov k prisotnosti na kontaktnih urah v živo ali na daljavo
f/Dogovor vseh članic znotraj Biomedicine o enotnem pogoju za dokončanje študija. 
</w:t>
            </w:r>
          </w:p>
        </w:tc>
        <w:tc>
          <w:tcPr>
            <w:tcW w:w="4600" w:type="dxa"/>
          </w:tcPr>
          <w:p>
            <w:pPr/>
            <w:r>
              <w:rPr/>
              <w:t xml:space="preserve">realiziran</w:t>
            </w:r>
          </w:p>
        </w:tc>
        <w:tc>
          <w:tcPr>
            <w:tcW w:w="4600" w:type="dxa"/>
          </w:tcPr>
          <w:p>
            <w:pPr/>
            <w:r>
              <w:rPr/>
              <w:t xml:space="preserve">Na UL FFA organizacija delavnic za doktorske študente: Brunching with Soft and Research Skills at UL FFA: Unlocking Your Full Potential. b/ VF: V študijskem letu 2024/25 so bili v izvajanje 1. in 2. modula pri temeljnem predmetu vključeni trije izvajalci. Po upokojitvi izvajalca modula ga nadomestimo z najbolj aktivnim raziskovalcem oziroma profesorjem na istem področju. Če se izkaže, da posamezni modul nima kompetentnega strokovnjaka za vsebine, ki jih študenti pogosto obravnavajo na doktorskem študiju, k sodelovanju pri ustreznem modulu povabimo dodatnega strokovnjaka.
a/c/d/ Na UL MF smo kot nadgradnjo izbirnih predmetov organizirali tudi delavnice ali srečanja z mednarodnimi predavatelji, kot npr. letno srečanje European network for individualised treatment of endometrial cancer, letno srečanje Slovenske mreže za zunajcelične vezikle SiN-EV in vsakoletni simpozij Centra za funkcionalno genomiko in biočipe. Študentje na omenjenih srečanjih v angleškem jeziku predstavljajo svoje raziskovalno delo v obliki predavanj in plakatov, kar omogoča mreženje z vrhunskimi tujimi strokovnjaki.
e/ MF: Medicina – temeljna smer: realizirano z možnostjo hibridne izvedbe predavanj in seminarjev, kar je omogočilo višjo udeležbo študentov iz oddaljenih krajev po Sloveniji in tujcev. Biokemija in molekularna biologija – Modul 1 se je izvajal hibridno, ker vsi tuji študenti še niso imeli urejenih viz ob pričetku izvedbe modula.  
</w:t>
            </w:r>
          </w:p>
        </w:tc>
      </w:tr>
      <w:tr>
        <w:trPr>
          <w:trHeight w:val="300" w:hRule="atLeast"/>
        </w:trPr>
        <w:tc>
          <w:tcPr>
            <w:tcW w:w="500" w:type="dxa"/>
          </w:tcPr>
          <w:p>
            <w:pPr/>
            <w:r>
              <w:rPr/>
              <w:t xml:space="preserve">2.</w:t>
            </w:r>
          </w:p>
        </w:tc>
        <w:tc>
          <w:tcPr>
            <w:tcW w:w="4600" w:type="dxa"/>
          </w:tcPr>
          <w:p>
            <w:pPr/>
            <w:r>
              <w:rPr/>
              <w:t xml:space="preserve">a/ Spodbuditi študente, da obnovijo srednješolske osnove etike in jih usmeriti v izbirne predmete področja, ki obravnavajo specifična vprašanja na doktorski ravni, npr obstoječi predmet za področje klinične medicine, javnega zdravja ipd (z novim študijskim letom).
b/ V temeljne module vključiti specifične vsebine etike, nanašajoče se na konkretne izzive posameznega področja (v roku 2 let).
c/ Preveriti obstoječe delavnice na UL ali organizirati lastne za specifična etična vprašanja – teme opredeliti v dogovoru s študenti (2025/26).
</w:t>
            </w:r>
          </w:p>
        </w:tc>
        <w:tc>
          <w:tcPr>
            <w:tcW w:w="4600" w:type="dxa"/>
          </w:tcPr>
          <w:p>
            <w:pPr/>
            <w:r>
              <w:rPr/>
              <w:t xml:space="preserve">realiziran</w:t>
            </w:r>
          </w:p>
        </w:tc>
        <w:tc>
          <w:tcPr>
            <w:tcW w:w="4600" w:type="dxa"/>
          </w:tcPr>
          <w:p>
            <w:pPr/>
            <w:r>
              <w:rPr/>
              <w:t xml:space="preserve">a in b/ vsebine s področja etike so na področju Medicina - klinična smer že vključene v Modul 1 ; c/MF je aktivno sodelovala pri organizaciji in izvedbi delavnice Etika in profesionalizem pri delu podatkovnimi zbirkami povezanimi z zdravjem (Training Ethical and Professionalism Aspects of Dealing with Health-Related Datasets), ki je v okviru mednarodne mreže EUTOPIA-HEALTH potekala od 20. - 21. 11. 2025 na UL</w:t>
            </w:r>
          </w:p>
        </w:tc>
      </w:tr>
      <w:tr>
        <w:trPr>
          <w:trHeight w:val="300" w:hRule="atLeast"/>
        </w:trPr>
        <w:tc>
          <w:tcPr>
            <w:tcW w:w="500" w:type="dxa"/>
          </w:tcPr>
          <w:p>
            <w:pPr/>
            <w:r>
              <w:rPr/>
              <w:t xml:space="preserve">2.</w:t>
            </w:r>
          </w:p>
        </w:tc>
        <w:tc>
          <w:tcPr>
            <w:tcW w:w="4600" w:type="dxa"/>
          </w:tcPr>
          <w:p>
            <w:pPr/>
            <w:r>
              <w:rPr/>
              <w:t xml:space="preserve">- Usmerjati kandidate v tovrstne delavnice in tečaje (tudi v tujini.
- Spodbujati kandidate k vpisu izbirnih predmetov na to tematiko.
- Preveriti obstoječe delavnice na temo UI in informirati pedagoge o njih.
</w:t>
            </w:r>
          </w:p>
        </w:tc>
        <w:tc>
          <w:tcPr>
            <w:tcW w:w="4600" w:type="dxa"/>
          </w:tcPr>
          <w:p>
            <w:pPr/>
            <w:r>
              <w:rPr/>
              <w:t xml:space="preserve">delno realiziran</w:t>
            </w:r>
          </w:p>
        </w:tc>
        <w:tc>
          <w:tcPr>
            <w:tcW w:w="4600" w:type="dxa"/>
          </w:tcPr>
          <w:p>
            <w:pPr/>
            <w:r>
              <w:rPr/>
              <w:t xml:space="preserve">MF je razširila nabor IKT orodij, tako da so na voljo naslednja orodja: Mentimeter, Formative, Adobe Creative Cloud ter Moodle spletno učilnico z integriranim H5P in drugimi orodji, ki jih bodo izvajalci v naslednjem šolskem letu lahko začeli postopoma uvajati v pedagoško delo.</w:t>
            </w:r>
          </w:p>
        </w:tc>
      </w:tr>
      <w:tr>
        <w:trPr>
          <w:trHeight w:val="300" w:hRule="atLeast"/>
        </w:trPr>
        <w:tc>
          <w:tcPr>
            <w:tcW w:w="500" w:type="dxa"/>
          </w:tcPr>
          <w:p>
            <w:pPr/>
            <w:r>
              <w:rPr/>
              <w:t xml:space="preserve">2.</w:t>
            </w:r>
          </w:p>
        </w:tc>
        <w:tc>
          <w:tcPr>
            <w:tcW w:w="4600" w:type="dxa"/>
          </w:tcPr>
          <w:p>
            <w:pPr/>
            <w:r>
              <w:rPr/>
              <w:t xml:space="preserve">Informacijo razširiti v okviru letnega srečanja udeležencev v programu (2025).</w:t>
            </w:r>
          </w:p>
        </w:tc>
        <w:tc>
          <w:tcPr>
            <w:tcW w:w="4600" w:type="dxa"/>
          </w:tcPr>
          <w:p>
            <w:pPr/>
            <w:r>
              <w:rPr/>
              <w:t xml:space="preserve">realiziran</w:t>
            </w:r>
          </w:p>
        </w:tc>
        <w:tc>
          <w:tcPr>
            <w:tcW w:w="4600" w:type="dxa"/>
          </w:tcPr>
          <w:p>
            <w:pPr/>
            <w:r>
              <w:rPr/>
              <w:t xml:space="preserve"/>
            </w:r>
          </w:p>
        </w:tc>
      </w:tr>
      <w:tr>
        <w:trPr>
          <w:trHeight w:val="300" w:hRule="atLeast"/>
        </w:trPr>
        <w:tc>
          <w:tcPr>
            <w:tcW w:w="500" w:type="dxa"/>
          </w:tcPr>
          <w:p>
            <w:pPr/>
            <w:r>
              <w:rPr/>
              <w:t xml:space="preserve">3.</w:t>
            </w:r>
          </w:p>
        </w:tc>
        <w:tc>
          <w:tcPr>
            <w:tcW w:w="4600" w:type="dxa"/>
          </w:tcPr>
          <w:p>
            <w:pPr/>
            <w:r>
              <w:rPr/>
              <w:t xml:space="preserve">Priprava pedagoške konference področja.</w:t>
            </w:r>
          </w:p>
        </w:tc>
        <w:tc>
          <w:tcPr>
            <w:tcW w:w="4600" w:type="dxa"/>
          </w:tcPr>
          <w:p>
            <w:pPr/>
            <w:r>
              <w:rPr/>
              <w:t xml:space="preserve">realiziran</w:t>
            </w:r>
          </w:p>
        </w:tc>
        <w:tc>
          <w:tcPr>
            <w:tcW w:w="4600" w:type="dxa"/>
          </w:tcPr>
          <w:p>
            <w:pPr/>
            <w:r>
              <w:rPr/>
              <w:t xml:space="preserve"/>
            </w:r>
          </w:p>
        </w:tc>
      </w:tr>
      <w:tr>
        <w:trPr>
          <w:trHeight w:val="300" w:hRule="atLeast"/>
        </w:trPr>
        <w:tc>
          <w:tcPr>
            <w:tcW w:w="500" w:type="dxa"/>
          </w:tcPr>
          <w:p>
            <w:pPr/>
            <w:r>
              <w:rPr/>
              <w:t xml:space="preserve">3.</w:t>
            </w:r>
          </w:p>
        </w:tc>
        <w:tc>
          <w:tcPr>
            <w:tcW w:w="4600" w:type="dxa"/>
          </w:tcPr>
          <w:p>
            <w:pPr/>
            <w:r>
              <w:rPr/>
              <w:t xml:space="preserve">a/Kratkoročno: informirati ustrezne organe in službe UL o navedeni problematiki
b/Začasno/prehodno:   - usmerjati kandidate v tovrstne delavnice in tečaje  - tudi v tujini.
- spodbujati kandidate k vpisu izbirnih predmetov na to tematiko
c/ Srednje/dolgoročno: vzpostavitev mag. programa.</w:t>
            </w:r>
          </w:p>
        </w:tc>
        <w:tc>
          <w:tcPr>
            <w:tcW w:w="4600" w:type="dxa"/>
          </w:tcPr>
          <w:p>
            <w:pPr/>
            <w:r>
              <w:rPr/>
              <w:t xml:space="preserve">delno realiziran</w:t>
            </w:r>
          </w:p>
        </w:tc>
        <w:tc>
          <w:tcPr>
            <w:tcW w:w="4600" w:type="dxa"/>
          </w:tcPr>
          <w:p>
            <w:pPr/>
            <w:r>
              <w:rPr/>
              <w:t xml:space="preserve">Realizirani so kratkoročni in začasni/prehodni ukrepi. Dolgoročni (nov mag. program) ni v pristojnosti PS Biomedicine</w:t>
            </w:r>
          </w:p>
        </w:tc>
      </w:tr>
      <w:tr>
        <w:trPr>
          <w:trHeight w:val="300" w:hRule="atLeast"/>
        </w:trPr>
        <w:tc>
          <w:tcPr>
            <w:tcW w:w="500" w:type="dxa"/>
          </w:tcPr>
          <w:p>
            <w:pPr/>
            <w:r>
              <w:rPr/>
              <w:t xml:space="preserve">3.</w:t>
            </w:r>
          </w:p>
        </w:tc>
        <w:tc>
          <w:tcPr>
            <w:tcW w:w="4600" w:type="dxa"/>
          </w:tcPr>
          <w:p>
            <w:pPr/>
            <w:r>
              <w:rPr/>
              <w:t xml:space="preserve">a/ Pogosteje organizirati posvetovanja s (potencialnimi) delodajalci o potrebnih kompetencah.
b/ V okvir obstoječih predmetov vključiti več uporabniških vidikov znanstvenih osnov z možnostmi prenosa znanja.</w:t>
            </w:r>
          </w:p>
        </w:tc>
        <w:tc>
          <w:tcPr>
            <w:tcW w:w="4600" w:type="dxa"/>
          </w:tcPr>
          <w:p>
            <w:pPr/>
            <w:r>
              <w:rPr/>
              <w:t xml:space="preserve">delno realiziran</w:t>
            </w:r>
          </w:p>
        </w:tc>
        <w:tc>
          <w:tcPr>
            <w:tcW w:w="4600" w:type="dxa"/>
          </w:tcPr>
          <w:p>
            <w:pPr/>
            <w:r>
              <w:rPr/>
              <w:t xml:space="preserve">Predlog ukrepa je tak, da gre za stalno aktivnost</w:t>
            </w:r>
          </w:p>
        </w:tc>
      </w:tr>
      <w:tr>
        <w:trPr>
          <w:trHeight w:val="300" w:hRule="atLeast"/>
        </w:trPr>
        <w:tc>
          <w:tcPr>
            <w:tcW w:w="500" w:type="dxa"/>
          </w:tcPr>
          <w:p>
            <w:pPr/>
            <w:r>
              <w:rPr/>
              <w:t xml:space="preserve">3.</w:t>
            </w:r>
          </w:p>
        </w:tc>
        <w:tc>
          <w:tcPr>
            <w:tcW w:w="4600" w:type="dxa"/>
          </w:tcPr>
          <w:p>
            <w:pPr/>
            <w:r>
              <w:rPr/>
              <w:t xml:space="preserve">Organizacija skupnih srečanj študentov Biomedicine npr skupen kongres vseh študentov Biomedicine, pri čemer se izkoristi tudi že obstoječe oblike kot sta srečanje Centra za funkcionalno genomiko in biočipe ali vzorčno minisimpozij študentov  Biomedicine FFA.</w:t>
            </w:r>
          </w:p>
        </w:tc>
        <w:tc>
          <w:tcPr>
            <w:tcW w:w="4600" w:type="dxa"/>
          </w:tcPr>
          <w:p>
            <w:pPr/>
            <w:r>
              <w:rPr/>
              <w:t xml:space="preserve">realiziran</w:t>
            </w:r>
          </w:p>
        </w:tc>
        <w:tc>
          <w:tcPr>
            <w:tcW w:w="4600" w:type="dxa"/>
          </w:tcPr>
          <w:p>
            <w:pPr/>
            <w:r>
              <w:rPr/>
              <w:t xml:space="preserve">Na UL FFA je bil 31. marca 2025, organiziran Drugi raziskovalni simpozij doktorskih študentov UL FFA. Na simpoziju je sodeloval: dr. Rok Sekirnik, vodja razvoja procesov mRNA/pDNA v podjetju Sartorius BIA Separations, d.o.o., naslov predavanja: Quality by Design in mRNA manufacturing. Nato so bile predstavitve študentov: Študentje 2. letnika: 2-minutne predstavitve s fokusom na raziskovalno idejo/hipoteze/cilje doktorske naloge. Študentje 3. in 4. letnika: 4-minutne predstavitve s fokusom na rezultate doktorske naloge. Razglasitev najboljših predstavitev.
MF: Informacije o delavnicah in poletnih šolah redno posredujemo vsem študentom in učiteljem Biomedicine. Na teh srečanjih lahko študenti v angleškem jeziku predstavljajo svoje raziskovalno delo v obliki predavanj in plakatov, kar omogoča mreženje z vrhunskimi tujimi strokovnjaki. Primeri takšnih srečanj so letno srečanje European network for individualised treatment of endometrial cancer, letno srečanje Slovenske mreže za zunajcelične vezikle SiN-EV in vsakoletni simpozij Centra za funkcionalno genomiko in biočipe.</w:t>
            </w:r>
          </w:p>
        </w:tc>
      </w:tr>
      <w:tr>
        <w:trPr>
          <w:trHeight w:val="300" w:hRule="atLeast"/>
        </w:trPr>
        <w:tc>
          <w:tcPr>
            <w:tcW w:w="500" w:type="dxa"/>
          </w:tcPr>
          <w:p>
            <w:pPr/>
            <w:r>
              <w:rPr/>
              <w:t xml:space="preserve">3.</w:t>
            </w:r>
          </w:p>
        </w:tc>
        <w:tc>
          <w:tcPr>
            <w:tcW w:w="4600" w:type="dxa"/>
          </w:tcPr>
          <w:p>
            <w:pPr/>
            <w:r>
              <w:rPr/>
              <w:t xml:space="preserve">Letna predstavitev najboljših primerov interdisciplinarnih translacijskih raziskav v Sloveniji.</w:t>
            </w:r>
          </w:p>
        </w:tc>
        <w:tc>
          <w:tcPr>
            <w:tcW w:w="4600" w:type="dxa"/>
          </w:tcPr>
          <w:p>
            <w:pPr/>
            <w:r>
              <w:rPr/>
              <w:t xml:space="preserve">delno realiziran</w:t>
            </w:r>
          </w:p>
        </w:tc>
        <w:tc>
          <w:tcPr>
            <w:tcW w:w="4600" w:type="dxa"/>
          </w:tcPr>
          <w:p>
            <w:pPr/>
            <w:r>
              <w:rPr/>
              <w:t xml:space="preserve">Najboljši primeri se predstavljajo skozi različna srečanja (npr predstavitev raziskav, nagrajenih z dekanovo nagrado UL FFA, ali rektorjevo nagrado za najinovacijo UL,  simpozij doktorskih študentov, letno srečanje centar za biočipe CFGBC ipd), zato lahko štejemo ukrep ko delno realiziran. Ni pa bilo organizirane predstavitve posebej za prikaz translacijskih raziskav.</w:t>
            </w:r>
          </w:p>
        </w:tc>
      </w:tr>
      <w:tr>
        <w:trPr>
          <w:trHeight w:val="300" w:hRule="atLeast"/>
        </w:trPr>
        <w:tc>
          <w:tcPr>
            <w:tcW w:w="500" w:type="dxa"/>
          </w:tcPr>
          <w:p>
            <w:pPr/>
            <w:r>
              <w:rPr/>
              <w:t xml:space="preserve">4.</w:t>
            </w:r>
          </w:p>
        </w:tc>
        <w:tc>
          <w:tcPr>
            <w:tcW w:w="4600" w:type="dxa"/>
          </w:tcPr>
          <w:p>
            <w:pPr/>
            <w:r>
              <w:rPr/>
              <w:t xml:space="preserve">a/ s povečano informiranostjo študentov o možnosti pridobivanja mehkih veščin skozi izbirne predmete Biomedicine in drugih programov ter aktivnosti Doktorske šole in Kariernih centrov UL, ter z razvojem specializiranih delavnic za pridobivanje specifičnih veščin (npr uporaba umetne inteligence),
b/ s posodobitvijo in nadgradnjo anketnega vprašalnika za doktorske študente tako, da bo mogoče pridobiti  povratne informacije za vsako znanstveno področje posebej in program kot celoto,
c/ s prilagoditvijo vprašanj v internih anketah pri kompleksnih predmetih (npr. na Fakulteti za farmacijo) za boljše odražanje specifičnih potreb posameznih modulov,
d/ s povečanjem informiranosti glede vključenosti doktorskih raziskav v raziskovalne skupine tudi preko pedagoških konferenc  (FFA, VF,...) in letnih srečanj vseh deležnikov na ravni programa
e/ z uvedbo možnosti kombiniranega dostopa do predavanj za slovenske slušatelje ter izvajanje predavanj v angleščini preko oddaljenega dostopa za tuje študente, še posebej na področjih na Medicinski fakulteti, kjer je tujih študentov največ,
f/  z uvedbo novega področja, ki bo namenjena predvsem kliničnemu raziskovanju študentov zdravstvenih strok (nega in babištvo, fizioterapija, delovna terapija, sanitarno in radiološko inženirstvo) in vzporedno z oblikovanjem drugega modula temeljnega predmeta na področju Javno zdravje, ki bo nudil izbirnost in poglobitev v bolj specifično metodologijo
g/ z uvedbo dodatnih konzultacij in usmerjanja pri samostojnem učenju za podporo študentom s slabšim predznanjem s področja bioloških znanosti na področju Nevroznanosti in prilagoditvijo izpitnih gradiv
</w:t>
            </w:r>
          </w:p>
        </w:tc>
        <w:tc>
          <w:tcPr>
            <w:tcW w:w="4600" w:type="dxa"/>
          </w:tcPr>
          <w:p>
            <w:pPr/>
            <w:r>
              <w:rPr/>
              <w:t xml:space="preserve">delno realiziran</w:t>
            </w:r>
          </w:p>
        </w:tc>
        <w:tc>
          <w:tcPr>
            <w:tcW w:w="4600" w:type="dxa"/>
          </w:tcPr>
          <w:p>
            <w:pPr/>
            <w:r>
              <w:rPr/>
              <w:t xml:space="preserve">e/MF: tujim študentom, ki so še v postopku pridobivanja vize in dovoljenja za bivanje in delo v Sloveniji je omogočen oddaljen dostop do predavanj in seminarjev, ki v primeru vpisanih tujih študentov potekajo v angleščini. f/ V študijskem letu 2023/2024 je bila potrjena uvedba novega znanstvenega področja Znanstveni vidiki zdravstvenih strok in pridružitev UL Zdravstvene fakultete k izvajanju programa. Sprememba začne veljati s študijskim letom 2025/2026. g/ Na znanstvenem področju Nevroznanosti mentorji svetujejo glede samostojnega učenja in usmerjajo študente s slabšim predznanjem.</w:t>
            </w:r>
          </w:p>
        </w:tc>
      </w:tr>
      <w:tr>
        <w:trPr>
          <w:trHeight w:val="300" w:hRule="atLeast"/>
        </w:trPr>
        <w:tc>
          <w:tcPr>
            <w:tcW w:w="500" w:type="dxa"/>
          </w:tcPr>
          <w:p>
            <w:pPr/>
            <w:r>
              <w:rPr/>
              <w:t xml:space="preserve">4.</w:t>
            </w:r>
          </w:p>
        </w:tc>
        <w:tc>
          <w:tcPr>
            <w:tcW w:w="4600" w:type="dxa"/>
          </w:tcPr>
          <w:p>
            <w:pPr/>
            <w:r>
              <w:rPr/>
              <w:t xml:space="preserve">Priprava pedagoške konference področja (kot pod točko 2) in usmeritev mentorjem, da predstavijo raziskovalne sheme, v katere so doktorandi vključeni (prikazati »večji okvir« dela).</w:t>
            </w:r>
          </w:p>
        </w:tc>
        <w:tc>
          <w:tcPr>
            <w:tcW w:w="4600" w:type="dxa"/>
          </w:tcPr>
          <w:p>
            <w:pPr/>
            <w:r>
              <w:rPr/>
              <w:t xml:space="preserve">realiziran</w:t>
            </w:r>
          </w:p>
        </w:tc>
        <w:tc>
          <w:tcPr>
            <w:tcW w:w="4600" w:type="dxa"/>
          </w:tcPr>
          <w:p>
            <w:pPr/>
            <w:r>
              <w:rPr/>
              <w:t xml:space="preserve"/>
            </w:r>
          </w:p>
        </w:tc>
      </w:tr>
      <w:tr>
        <w:trPr>
          <w:trHeight w:val="300" w:hRule="atLeast"/>
        </w:trPr>
        <w:tc>
          <w:tcPr>
            <w:tcW w:w="500" w:type="dxa"/>
          </w:tcPr>
          <w:p>
            <w:pPr/>
            <w:r>
              <w:rPr/>
              <w:t xml:space="preserve">4.</w:t>
            </w:r>
          </w:p>
        </w:tc>
        <w:tc>
          <w:tcPr>
            <w:tcW w:w="4600" w:type="dxa"/>
          </w:tcPr>
          <w:p>
            <w:pPr/>
            <w:r>
              <w:rPr/>
              <w:t xml:space="preserve">Enako kot pod točko 2.</w:t>
            </w:r>
          </w:p>
        </w:tc>
        <w:tc>
          <w:tcPr>
            <w:tcW w:w="4600" w:type="dxa"/>
          </w:tcPr>
          <w:p>
            <w:pPr/>
            <w:r>
              <w:rPr/>
              <w:t xml:space="preserve">realiziran</w:t>
            </w:r>
          </w:p>
        </w:tc>
        <w:tc>
          <w:tcPr>
            <w:tcW w:w="4600" w:type="dxa"/>
          </w:tcPr>
          <w:p>
            <w:pPr/>
            <w:r>
              <w:rPr/>
              <w:t xml:space="preserve"/>
            </w:r>
          </w:p>
        </w:tc>
      </w:tr>
      <w:tr>
        <w:trPr>
          <w:trHeight w:val="300" w:hRule="atLeast"/>
        </w:trPr>
        <w:tc>
          <w:tcPr>
            <w:tcW w:w="500" w:type="dxa"/>
          </w:tcPr>
          <w:p>
            <w:pPr/>
            <w:r>
              <w:rPr/>
              <w:t xml:space="preserve">4.</w:t>
            </w:r>
          </w:p>
        </w:tc>
        <w:tc>
          <w:tcPr>
            <w:tcW w:w="4600" w:type="dxa"/>
          </w:tcPr>
          <w:p>
            <w:pPr/>
            <w:r>
              <w:rPr/>
              <w:t xml:space="preserve">Pogovor med deležniki pedagoškega procesa o metodologiji pridobitve oz. izmenjave informacij o izvedbi in možnih izboljšanjih: npr. dogovoriti način izvedbe morebitnih internih anket po predmetih.</w:t>
            </w:r>
          </w:p>
        </w:tc>
        <w:tc>
          <w:tcPr>
            <w:tcW w:w="4600" w:type="dxa"/>
          </w:tcPr>
          <w:p>
            <w:pPr/>
            <w:r>
              <w:rPr/>
              <w:t xml:space="preserve">delno realiziran</w:t>
            </w:r>
          </w:p>
        </w:tc>
        <w:tc>
          <w:tcPr>
            <w:tcW w:w="4600" w:type="dxa"/>
          </w:tcPr>
          <w:p>
            <w:pPr/>
            <w:r>
              <w:rPr/>
              <w:t xml:space="preserve">Pogovori so potekali ob prenovi študentskih anket za tretjo stopnjo</w:t>
            </w:r>
          </w:p>
        </w:tc>
      </w:tr>
      <w:tr>
        <w:trPr>
          <w:trHeight w:val="300" w:hRule="atLeast"/>
        </w:trPr>
        <w:tc>
          <w:tcPr>
            <w:tcW w:w="500" w:type="dxa"/>
          </w:tcPr>
          <w:p>
            <w:pPr/>
            <w:r>
              <w:rPr/>
              <w:t xml:space="preserve">4.</w:t>
            </w:r>
          </w:p>
        </w:tc>
        <w:tc>
          <w:tcPr>
            <w:tcW w:w="4600" w:type="dxa"/>
          </w:tcPr>
          <w:p>
            <w:pPr/>
            <w:r>
              <w:rPr/>
              <w:t xml:space="preserve">Pilotno bi pripravili centralno zbrane povezave do že uveljavljenih štipendij za mlade raziskovalce v Sloveniji.</w:t>
            </w:r>
          </w:p>
        </w:tc>
        <w:tc>
          <w:tcPr>
            <w:tcW w:w="4600" w:type="dxa"/>
          </w:tcPr>
          <w:p>
            <w:pPr/>
            <w:r>
              <w:rPr/>
              <w:t xml:space="preserve">ostaja na ravni predloga</w:t>
            </w:r>
          </w:p>
        </w:tc>
        <w:tc>
          <w:tcPr>
            <w:tcW w:w="4600" w:type="dxa"/>
          </w:tcPr>
          <w:p>
            <w:pPr/>
            <w:r>
              <w:rPr/>
              <w:t xml:space="preserve"/>
            </w:r>
          </w:p>
        </w:tc>
      </w:tr>
      <w:tr>
        <w:trPr>
          <w:trHeight w:val="300" w:hRule="atLeast"/>
        </w:trPr>
        <w:tc>
          <w:tcPr>
            <w:tcW w:w="500" w:type="dxa"/>
          </w:tcPr>
          <w:p>
            <w:pPr/>
            <w:r>
              <w:rPr/>
              <w:t xml:space="preserve">4.</w:t>
            </w:r>
          </w:p>
        </w:tc>
        <w:tc>
          <w:tcPr>
            <w:tcW w:w="4600" w:type="dxa"/>
          </w:tcPr>
          <w:p>
            <w:pPr/>
            <w:r>
              <w:rPr/>
              <w:t xml:space="preserve">Izkoristiti možnosti uvedene spletne učilnice z integriranimi IKT orodji, npr.or Formativa, Mentimeter ali podobno.</w:t>
            </w:r>
          </w:p>
        </w:tc>
        <w:tc>
          <w:tcPr>
            <w:tcW w:w="4600" w:type="dxa"/>
          </w:tcPr>
          <w:p>
            <w:pPr/>
            <w:r>
              <w:rPr/>
              <w:t xml:space="preserve">delno realiziran</w:t>
            </w:r>
          </w:p>
        </w:tc>
        <w:tc>
          <w:tcPr>
            <w:tcW w:w="4600" w:type="dxa"/>
          </w:tcPr>
          <w:p>
            <w:pPr/>
            <w:r>
              <w:rPr/>
              <w:t xml:space="preserve">MF je razširila nabor IKT orodij, tako da so na voljo naslednja orodja: Mentimeter, Formative, Adobe Creative Cloud ter Moodle spletno učilnico z integriranim H5P in drugimi orodji, ki jih bodo izvajalci v naslednjem šolskem letu lahko začeli postopoma uvajati v pedagoško delo.</w:t>
            </w:r>
          </w:p>
        </w:tc>
      </w:tr>
      <w:tr>
        <w:trPr>
          <w:trHeight w:val="300" w:hRule="atLeast"/>
        </w:trPr>
        <w:tc>
          <w:tcPr>
            <w:tcW w:w="500" w:type="dxa"/>
          </w:tcPr>
          <w:p>
            <w:pPr/>
            <w:r>
              <w:rPr/>
              <w:t xml:space="preserve">5.a</w:t>
            </w:r>
          </w:p>
        </w:tc>
        <w:tc>
          <w:tcPr>
            <w:tcW w:w="4600" w:type="dxa"/>
          </w:tcPr>
          <w:p>
            <w:pPr/>
            <w:r>
              <w:rPr/>
              <w:t xml:space="preserve">a/ Večja promocija doktorskega študija, čeprav je vprašanje širše in  nanj ne  moremo v celoti vplivati 
b/ Bolj sistematično spremljanje populacije študentov v smeri Javno zdravje od tretjega letnika 
c/ Spodbujanje mednarodnega sodelovanja in izmenjav na ravni programa in smeri dalje do vključno zaključka študija.
/ organizacija simpozija doktorandov FFA
</w:t>
            </w:r>
          </w:p>
        </w:tc>
        <w:tc>
          <w:tcPr>
            <w:tcW w:w="4600" w:type="dxa"/>
          </w:tcPr>
          <w:p>
            <w:pPr/>
            <w:r>
              <w:rPr/>
              <w:t xml:space="preserve">delno realiziran</w:t>
            </w:r>
          </w:p>
        </w:tc>
        <w:tc>
          <w:tcPr>
            <w:tcW w:w="4600" w:type="dxa"/>
          </w:tcPr>
          <w:p>
            <w:pPr/>
            <w:r>
              <w:rPr/>
              <w:t xml:space="preserve">b/Priložnost za še nadaljnje izboljševanje spremljanja in zagotavljanja kakovosti pedagoškega procesa na področju Javno zdravje, ki je kratkoročno izvedljiva, je vpeljava pogovora s študenti na koncu prvega letnika študija. c/ Informacije o delavnicah in poletnih šolah redno posredujemo vsem študentom in učiteljem Biomedicine. Na teh srečanjih lahko študenti v angleškem jeziku predstavljajo svoje raziskovalno delo v obliki predavanj in plakatov, kar omogoča mreženje z vrhunskimi tujimi strokovnjaki. Primeri takšnih srečanj so letno srečanje European network for individualised treatment of endometrial cancer, letno srečanje Slovenske mreže za zunajcelične vezikle SiN-EV in vsakoletni simpozij Centra za funkcionalno genomiko in biočipe.</w:t>
            </w:r>
          </w:p>
        </w:tc>
      </w:tr>
      <w:tr>
        <w:trPr>
          <w:trHeight w:val="300" w:hRule="atLeast"/>
        </w:trPr>
        <w:tc>
          <w:tcPr>
            <w:tcW w:w="500" w:type="dxa"/>
          </w:tcPr>
          <w:p>
            <w:pPr/>
            <w:r>
              <w:rPr/>
              <w:t xml:space="preserve">5.a</w:t>
            </w:r>
          </w:p>
        </w:tc>
        <w:tc>
          <w:tcPr>
            <w:tcW w:w="4600" w:type="dxa"/>
          </w:tcPr>
          <w:p>
            <w:pPr/>
            <w:r>
              <w:rPr/>
              <w:t xml:space="preserve">a/ Povabiti študente različnih smeri  z vsebinskimi poudarki posamičnih področij z manj vpisanimi.
b/ Preveriti možnosti sporazumnih prerazporeditev med področji znotraj programa 
c/ Razmislek z razpravo o smiselnosti še večje modularnosti programa, ki bi omogočila večjo fleksibilnost pri izbiri predmetov in privabila študente iz interdisciplinarnih področij.</w:t>
            </w:r>
          </w:p>
        </w:tc>
        <w:tc>
          <w:tcPr>
            <w:tcW w:w="4600" w:type="dxa"/>
          </w:tcPr>
          <w:p>
            <w:pPr/>
            <w:r>
              <w:rPr/>
              <w:t xml:space="preserve">ostaja na ravni predloga</w:t>
            </w:r>
          </w:p>
        </w:tc>
        <w:tc>
          <w:tcPr>
            <w:tcW w:w="4600" w:type="dxa"/>
          </w:tcPr>
          <w:p>
            <w:pPr/>
            <w:r>
              <w:rPr/>
              <w:t xml:space="preserve"/>
            </w:r>
          </w:p>
        </w:tc>
      </w:tr>
      <w:tr>
        <w:trPr>
          <w:trHeight w:val="300" w:hRule="atLeast"/>
        </w:trPr>
        <w:tc>
          <w:tcPr>
            <w:tcW w:w="500" w:type="dxa"/>
          </w:tcPr>
          <w:p>
            <w:pPr/>
            <w:r>
              <w:rPr/>
              <w:t xml:space="preserve">5.b</w:t>
            </w:r>
          </w:p>
        </w:tc>
        <w:tc>
          <w:tcPr>
            <w:tcW w:w="4600" w:type="dxa"/>
          </w:tcPr>
          <w:p>
            <w:pPr/>
            <w:r>
              <w:rPr/>
              <w:t xml:space="preserve">Vpeljava (IKT) učnih orodij (npr. Formative ali Mentimeter ali podobno) preko spletne učilnice.</w:t>
            </w:r>
          </w:p>
        </w:tc>
        <w:tc>
          <w:tcPr>
            <w:tcW w:w="4600" w:type="dxa"/>
          </w:tcPr>
          <w:p>
            <w:pPr/>
            <w:r>
              <w:rPr/>
              <w:t xml:space="preserve">delno realiziran</w:t>
            </w:r>
          </w:p>
        </w:tc>
        <w:tc>
          <w:tcPr>
            <w:tcW w:w="4600" w:type="dxa"/>
          </w:tcPr>
          <w:p>
            <w:pPr/>
            <w:r>
              <w:rPr/>
              <w:t xml:space="preserve">MF je razširila nabor IKT orodij, tako da so na voljo naslednja orodja: Mentimeter, Formative, Adobe Creative Cloud ter Moodle spletno učilnico z integriranim H5P in drugimi orodji, ki jih bodo izvajalci v naslednjem šolskem letu lahko začeli postopoma uvajati v pedagoško delo.</w:t>
            </w:r>
          </w:p>
        </w:tc>
      </w:tr>
      <w:tr>
        <w:trPr>
          <w:trHeight w:val="300" w:hRule="atLeast"/>
        </w:trPr>
        <w:tc>
          <w:tcPr>
            <w:tcW w:w="500" w:type="dxa"/>
          </w:tcPr>
          <w:p>
            <w:pPr/>
            <w:r>
              <w:rPr/>
              <w:t xml:space="preserve">5.b</w:t>
            </w:r>
          </w:p>
        </w:tc>
        <w:tc>
          <w:tcPr>
            <w:tcW w:w="4600" w:type="dxa"/>
          </w:tcPr>
          <w:p>
            <w:pPr/>
            <w:r>
              <w:rPr/>
              <w:t xml:space="preserve">Kot pod točko 2: pridobiti  bioinformatike, organizirati usposabljanja za pedagoge in študente.</w:t>
            </w:r>
          </w:p>
        </w:tc>
        <w:tc>
          <w:tcPr>
            <w:tcW w:w="4600" w:type="dxa"/>
          </w:tcPr>
          <w:p>
            <w:pPr/>
            <w:r>
              <w:rPr/>
              <w:t xml:space="preserve">delno realiziran</w:t>
            </w:r>
          </w:p>
        </w:tc>
        <w:tc>
          <w:tcPr>
            <w:tcW w:w="4600" w:type="dxa"/>
          </w:tcPr>
          <w:p>
            <w:pPr/>
            <w:r>
              <w:rPr/>
              <w:t xml:space="preserve">- BMB: Blaž Zupan je v predavanja na področju podatkovne analitike vključil teme s področja generativne umetne inteligence in uporabe temeljnih modelov pridobljenih s strojnim učenjem.</w:t>
            </w:r>
          </w:p>
        </w:tc>
      </w:tr>
      <w:tr>
        <w:trPr>
          <w:trHeight w:val="300" w:hRule="atLeast"/>
        </w:trPr>
        <w:tc>
          <w:tcPr>
            <w:tcW w:w="500" w:type="dxa"/>
          </w:tcPr>
          <w:p>
            <w:pPr/>
            <w:r>
              <w:rPr/>
              <w:t xml:space="preserve">5.č</w:t>
            </w:r>
          </w:p>
        </w:tc>
        <w:tc>
          <w:tcPr>
            <w:tcW w:w="4600" w:type="dxa"/>
          </w:tcPr>
          <w:p>
            <w:pPr/>
            <w:r>
              <w:rPr/>
              <w:t xml:space="preserve">Spodbujanje udeležbe na izobraževanjih INOVUP ali organizirati samostojna usposabljanja (glejte tudi točko 5e).</w:t>
            </w:r>
          </w:p>
        </w:tc>
        <w:tc>
          <w:tcPr>
            <w:tcW w:w="4600" w:type="dxa"/>
          </w:tcPr>
          <w:p>
            <w:pPr/>
            <w:r>
              <w:rPr/>
              <w:t xml:space="preserve">delno realiziran</w:t>
            </w:r>
          </w:p>
        </w:tc>
        <w:tc>
          <w:tcPr>
            <w:tcW w:w="4600" w:type="dxa"/>
          </w:tcPr>
          <w:p>
            <w:pPr/>
            <w:r>
              <w:rPr/>
              <w:t xml:space="preserve">UL učitelje redno obvešča o možnostih pedagoškega usposabljanja na izobraževanjih INOVUP. Žal ima veliko učiteljev zaradi visoke obremenitve pri rednem delu in drugih obveznosti omejene možnosti za udeležbo v živo, nekoliko lažje se je udeleževati </w:t>
            </w:r>
          </w:p>
        </w:tc>
      </w:tr>
      <w:tr>
        <w:trPr>
          <w:trHeight w:val="300" w:hRule="atLeast"/>
        </w:trPr>
        <w:tc>
          <w:tcPr>
            <w:tcW w:w="500" w:type="dxa"/>
          </w:tcPr>
          <w:p>
            <w:pPr/>
            <w:r>
              <w:rPr/>
              <w:t xml:space="preserve">5.č</w:t>
            </w:r>
          </w:p>
        </w:tc>
        <w:tc>
          <w:tcPr>
            <w:tcW w:w="4600" w:type="dxa"/>
          </w:tcPr>
          <w:p>
            <w:pPr/>
            <w:r>
              <w:rPr/>
              <w:t xml:space="preserve">Koordinatorji pozovejo mentorje, da seznanijo doktorande z možnostmi pridobivanja mednarodnih izkušenj.</w:t>
            </w:r>
          </w:p>
        </w:tc>
        <w:tc>
          <w:tcPr>
            <w:tcW w:w="4600" w:type="dxa"/>
          </w:tcPr>
          <w:p>
            <w:pPr/>
            <w:r>
              <w:rPr/>
              <w:t xml:space="preserve">delno realiziran</w:t>
            </w:r>
          </w:p>
        </w:tc>
        <w:tc>
          <w:tcPr>
            <w:tcW w:w="4600" w:type="dxa"/>
          </w:tcPr>
          <w:p>
            <w:pPr/>
            <w:r>
              <w:rPr/>
              <w:t xml:space="preserve">Informacije o delavnicah in poletnih šolah, na katerih so gosti predavatelji iz tujine, katerih obiski so izvedeni v okviru razpisa za sofinanciranje mednarodne dejavnosti učiteljev Biomedicine redno posredujemo vsem študentom in učiteljem Biomedicine.</w:t>
            </w:r>
          </w:p>
        </w:tc>
      </w:tr>
      <w:tr>
        <w:trPr>
          <w:trHeight w:val="300" w:hRule="atLeast"/>
        </w:trPr>
        <w:tc>
          <w:tcPr>
            <w:tcW w:w="500" w:type="dxa"/>
          </w:tcPr>
          <w:p>
            <w:pPr/>
            <w:r>
              <w:rPr/>
              <w:t xml:space="preserve">5.e</w:t>
            </w:r>
          </w:p>
        </w:tc>
        <w:tc>
          <w:tcPr>
            <w:tcW w:w="4600" w:type="dxa"/>
          </w:tcPr>
          <w:p>
            <w:pPr/>
            <w:r>
              <w:rPr/>
              <w:t xml:space="preserve">a/ Uspešna izvedba novogradenj  VF  MF, FFA.
b/ Ustreznejši pogoji za privabljanje specialistov medicinskih smeri za delo v akademskem okolju. 
=Nobena od teh priložnosti ni v rokah fakultete ali pa le minimalno
</w:t>
            </w:r>
          </w:p>
        </w:tc>
        <w:tc>
          <w:tcPr>
            <w:tcW w:w="4600" w:type="dxa"/>
          </w:tcPr>
          <w:p>
            <w:pPr/>
            <w:r>
              <w:rPr/>
              <w:t xml:space="preserve">delno realiziran</w:t>
            </w:r>
          </w:p>
        </w:tc>
        <w:tc>
          <w:tcPr>
            <w:tcW w:w="4600" w:type="dxa"/>
          </w:tcPr>
          <w:p>
            <w:pPr/>
            <w:r>
              <w:rPr/>
              <w:t xml:space="preserve">a/ gradnja MF in VF uspešno poteka, učitelji in raziskovalci aktivno sodelujejo pri načrtovanju in opremljanju raziskovalnih in pedagoških prostorov.</w:t>
            </w:r>
          </w:p>
        </w:tc>
      </w:tr>
      <w:tr>
        <w:trPr>
          <w:trHeight w:val="300" w:hRule="atLeast"/>
        </w:trPr>
        <w:tc>
          <w:tcPr>
            <w:tcW w:w="500" w:type="dxa"/>
          </w:tcPr>
          <w:p>
            <w:pPr/>
            <w:r>
              <w:rPr/>
              <w:t xml:space="preserve">5.e</w:t>
            </w:r>
          </w:p>
        </w:tc>
        <w:tc>
          <w:tcPr>
            <w:tcW w:w="4600" w:type="dxa"/>
          </w:tcPr>
          <w:p>
            <w:pPr/>
            <w:r>
              <w:rPr/>
              <w:t xml:space="preserve">Kot pod točko 5č.</w:t>
            </w:r>
          </w:p>
        </w:tc>
        <w:tc>
          <w:tcPr>
            <w:tcW w:w="4600" w:type="dxa"/>
          </w:tcPr>
          <w:p>
            <w:pPr/>
            <w:r>
              <w:rPr/>
              <w:t xml:space="preserve">delno realiziran</w:t>
            </w:r>
          </w:p>
        </w:tc>
        <w:tc>
          <w:tcPr>
            <w:tcW w:w="4600" w:type="dxa"/>
          </w:tcPr>
          <w:p>
            <w:pPr/>
            <w:r>
              <w:rPr/>
              <w:t xml:space="preserve">kot od točko 5č</w:t>
            </w:r>
          </w:p>
        </w:tc>
      </w:tr>
      <w:tr>
        <w:trPr>
          <w:trHeight w:val="300" w:hRule="atLeast"/>
        </w:trPr>
        <w:tc>
          <w:tcPr>
            <w:tcW w:w="500" w:type="dxa"/>
          </w:tcPr>
          <w:p>
            <w:pPr/>
            <w:r>
              <w:rPr/>
              <w:t xml:space="preserve"/>
            </w:r>
          </w:p>
        </w:tc>
        <w:tc>
          <w:tcPr>
            <w:tcW w:w="4600" w:type="dxa"/>
          </w:tcPr>
          <w:p>
            <w:pPr/>
            <w:r>
              <w:rPr/>
              <w:t xml:space="preserve">Posodobitev študentske ankete, da bo vključevala vprašanja vezana na posamezen modul in temeljni predmet.</w:t>
            </w:r>
          </w:p>
        </w:tc>
        <w:tc>
          <w:tcPr>
            <w:tcW w:w="4600" w:type="dxa"/>
          </w:tcPr>
          <w:p>
            <w:pPr/>
            <w:r>
              <w:rPr/>
              <w:t xml:space="preserve">delno realiziran</w:t>
            </w:r>
          </w:p>
        </w:tc>
        <w:tc>
          <w:tcPr>
            <w:tcW w:w="4600" w:type="dxa"/>
          </w:tcPr>
          <w:p>
            <w:pPr/>
            <w:r>
              <w:rPr/>
              <w:t xml:space="preserve">Implementacija prenovljene ankete je v teku na ravbni vseh doktorskih študijskih programov</w:t>
            </w:r>
          </w:p>
        </w:tc>
      </w:tr>
    </w:tbl>
    <w:p>
      <w:pPr>
        <w:sectPr>
          <w:type w:val="continuous"/>
          <w:pgSz w:orient="landscape" w:w="16837.79527559055" w:h="11905.511811023622"/>
          <w:pgMar w:top="1440" w:right="1440" w:bottom="1440" w:left="1440" w:header="720" w:footer="720" w:gutter="0"/>
          <w:cols w:num="1" w:space="720"/>
        </w:sectPr>
      </w:pPr>
    </w:p>
    <w:p/>
    <w:tbl>
      <w:tblGrid>
        <w:gridCol w:w="7150" w:type="dxa"/>
        <w:gridCol w:w="7150" w:type="dxa"/>
      </w:tblGrid>
      <w:tblPr>
        <w:tblStyle w:val="table"/>
      </w:tblPr>
      <w:tr>
        <w:trPr>
          <w:trHeight w:val="300" w:hRule="atLeast"/>
        </w:trPr>
        <w:tc>
          <w:tcPr>
            <w:tcW w:w="7150" w:type="dxa"/>
            <w:shd w:val="clear" w:fill="f5f5f5"/>
          </w:tcPr>
          <w:p>
            <w:pPr/>
            <w:r>
              <w:rPr>
                <w:b w:val="1"/>
                <w:bCs w:val="1"/>
              </w:rPr>
              <w:t xml:space="preserve">Ključne izboljšave in dobre prakse v preteklem obdobju</w:t>
            </w:r>
          </w:p>
        </w:tc>
        <w:tc>
          <w:tcPr>
            <w:tcW w:w="7150" w:type="dxa"/>
            <w:shd w:val="clear" w:fill="f5f5f5"/>
          </w:tcPr>
          <w:p>
            <w:pPr/>
            <w:r>
              <w:rPr>
                <w:b w:val="1"/>
                <w:bCs w:val="1"/>
              </w:rPr>
              <w:t xml:space="preserve">Obrazložitev vpliva na kakovost</w:t>
            </w:r>
          </w:p>
        </w:tc>
      </w:tr>
      <w:tr>
        <w:trPr>
          <w:trHeight w:val="300" w:hRule="atLeast"/>
        </w:trPr>
        <w:tc>
          <w:tcPr>
            <w:tcW w:w="7150" w:type="dxa"/>
            <w:shd w:val="clear" w:fill="f5f5f5"/>
          </w:tcPr>
          <w:p>
            <w:pPr/>
            <w:r>
              <w:rPr>
                <w:sz w:val="18"/>
                <w:szCs w:val="18"/>
                <w:i w:val="1"/>
                <w:iCs w:val="1"/>
              </w:rPr>
              <w:t xml:space="preserve">navedite tudi morebitne druge ukrepe, ki ste jih izvedli že med študijskim letom na podlagi identificiranih pomanjkljivosti</w:t>
            </w:r>
          </w:p>
        </w:tc>
        <w:tc>
          <w:tcPr>
            <w:tcW w:w="7150" w:type="dxa"/>
            <w:shd w:val="clear" w:fill="f5f5f5"/>
          </w:tcPr>
          <w:p>
            <w:pPr/>
            <w:r>
              <w:rPr>
                <w:sz w:val="18"/>
                <w:szCs w:val="18"/>
                <w:i w:val="1"/>
                <w:iCs w:val="1"/>
              </w:rPr>
              <w:t xml:space="preserve"/>
            </w:r>
          </w:p>
        </w:tc>
      </w:tr>
      <w:tr>
        <w:trPr>
          <w:trHeight w:val="300" w:hRule="atLeast"/>
        </w:trPr>
        <w:tc>
          <w:tcPr>
            <w:tcW w:w="7150" w:type="dxa"/>
          </w:tcPr>
          <w:p>
            <w:pPr/>
            <w:r>
              <w:rPr/>
              <w:t xml:space="preserve">V št. l. 2024/2025 smo poleg rednega obveščanja mentorjev in doktorandov za vse vpisane v 2. letnik imeli predstavitev glede prijave dispozicije doktorske disertacije ( navodila, napotki, priloge in pomembni datumi).
Za vse vpisane od št. l. 2020/2021 smo  v maju 2025 na UL VF organizirali DELAVNICO - Načrt ravnanja z raziskovalnimi podatki (NRRP) in shranjevanje podatkov v repozitorij Univerze v Ljubljani (RUL). Delavnico sta izvedli Urša Opara Krašovec UL FE in Metka Šimundić UL VF.
</w:t>
            </w:r>
          </w:p>
        </w:tc>
        <w:tc>
          <w:tcPr>
            <w:tcW w:w="7150" w:type="dxa"/>
          </w:tcPr>
          <w:p>
            <w:pPr/>
            <w:r>
              <w:rPr/>
              <w:t xml:space="preserve">Redno obveščanje in predstavitvi sta prispevali k boljši usposobljenosti doktorandov za pravočasno opravljanje obveznosti ter k večji učinkovitosti študija.</w:t>
            </w:r>
          </w:p>
        </w:tc>
      </w:tr>
      <w:tr>
        <w:trPr>
          <w:trHeight w:val="300" w:hRule="atLeast"/>
        </w:trPr>
        <w:tc>
          <w:tcPr>
            <w:tcW w:w="7150" w:type="dxa"/>
          </w:tcPr>
          <w:p>
            <w:pPr/>
            <w:r>
              <w:rPr/>
              <w:t xml:space="preserve">Na UL FFA smo organizirali drugo izvedba kariernega razvojnega izobraževanja UL FFA (CDTC) z naslovom Brunching with Soft and Research Skills at FFA 2.0: Unlocking Your Full Potential. Obravnavali smo teme s področij umetne inteligence, učinkovitega javnega nastopanja in predstavljanja, obvladovanja stresa, gostovanje urednice znanstvene revije Science.</w:t>
            </w:r>
          </w:p>
        </w:tc>
        <w:tc>
          <w:tcPr>
            <w:tcW w:w="7150" w:type="dxa"/>
          </w:tcPr>
          <w:p>
            <w:pPr/>
            <w:r>
              <w:rPr/>
              <w:t xml:space="preserve">S projektom Brunching with Soft and Research Skills at UL FFA fakulteta utrjuje svojo vlogo vodilnega akademskega okolja, ki razume, da je prihodnost znanosti v povezovanju disciplin, generacij in vrednot. Prispevek projekta je trojen:
•	akademski prispevek: izboljšanje kakovosti doktorskega izobraževanja z integracijo mehkih in raziskovalnih kompetenc.
•	inovacijski prispevek: razvoj odprtega okolja, kjer se znanost in gospodarstvo dopolnjujeta, izmenjujeta ideje in ustvarjata nove priložnosti.družbeni prispevek: vzgoja raziskovalcev, ki razumejo svojo vlogo v širši skupnosti – kot nosilci znanja, odgovornosti in sodelovanja.</w:t>
            </w:r>
          </w:p>
        </w:tc>
      </w:tr>
      <w:tr>
        <w:trPr>
          <w:trHeight w:val="300" w:hRule="atLeast"/>
        </w:trPr>
        <w:tc>
          <w:tcPr>
            <w:tcW w:w="7150" w:type="dxa"/>
          </w:tcPr>
          <w:p>
            <w:pPr/>
            <w:r>
              <w:rPr/>
              <w:t xml:space="preserve">Doktorski študij so zaključili prvi doktorandi, ki so morali v doktorsko disertacijo vključiti končno obliko ravnanja z raziskovalnimi podatki (NRRP) in objaviti raziskovalne podatke doktorske disertacije v repozitoriju.</w:t>
            </w:r>
          </w:p>
        </w:tc>
        <w:tc>
          <w:tcPr>
            <w:tcW w:w="7150" w:type="dxa"/>
          </w:tcPr>
          <w:p>
            <w:pPr/>
            <w:r>
              <w:rPr/>
              <w:t xml:space="preserve">Raziskovalni podatki ustvarjeni v okviru doktorskih disertacij so objavljeni ali drugače dostopni na način, ki omogoča njihovo preglednost, dostopnost, interoperabilnost ter možnost ponovnega vrednotenja in uporabe.</w:t>
            </w:r>
          </w:p>
        </w:tc>
      </w:tr>
    </w:tbl>
    <w:p>
      <w:pPr>
        <w:sectPr>
          <w:type w:val="continuous"/>
          <w:pgSz w:orient="landscape" w:w="16837.79527559055" w:h="11905.511811023622"/>
          <w:pgMar w:top="1440" w:right="1440" w:bottom="1440" w:left="1440" w:header="720" w:footer="720" w:gutter="0"/>
          <w:cols w:num="1" w:space="720"/>
        </w:sectPr>
      </w:pPr>
    </w:p>
    <w:p/>
    <w:tbl>
      <w:tblGrid>
        <w:gridCol w:w="500" w:type="dxa"/>
        <w:gridCol w:w="3350" w:type="dxa"/>
        <w:gridCol w:w="3350" w:type="dxa"/>
        <w:gridCol w:w="3350" w:type="dxa"/>
        <w:gridCol w:w="3350" w:type="dxa"/>
      </w:tblGrid>
      <w:tblPr>
        <w:tblStyle w:val="table"/>
      </w:tblPr>
      <w:tr>
        <w:trPr>
          <w:trHeight w:val="300" w:hRule="atLeast"/>
        </w:trPr>
        <w:tc>
          <w:tcPr>
            <w:tcW w:w="500" w:type="dxa"/>
            <w:shd w:val="clear" w:fill="f5f5f5"/>
          </w:tcPr>
          <w:p>
            <w:pPr/>
            <w:r>
              <w:rPr>
                <w:b w:val="1"/>
                <w:bCs w:val="1"/>
              </w:rPr>
              <w:t xml:space="preserve">Št. pogl-avja</w:t>
            </w:r>
          </w:p>
        </w:tc>
        <w:tc>
          <w:tcPr>
            <w:tcW w:w="3350" w:type="dxa"/>
            <w:shd w:val="clear" w:fill="f5f5f5"/>
          </w:tcPr>
          <w:p>
            <w:pPr/>
            <w:r>
              <w:rPr>
                <w:b w:val="1"/>
                <w:bCs w:val="1"/>
              </w:rPr>
              <w:t xml:space="preserve">Priložnosti za izboljšave</w:t>
            </w:r>
          </w:p>
        </w:tc>
        <w:tc>
          <w:tcPr>
            <w:tcW w:w="3350" w:type="dxa"/>
            <w:shd w:val="clear" w:fill="f5f5f5"/>
          </w:tcPr>
          <w:p>
            <w:pPr/>
            <w:r>
              <w:rPr>
                <w:b w:val="1"/>
                <w:bCs w:val="1"/>
              </w:rPr>
              <w:t xml:space="preserve">Cilj (i)</w:t>
            </w:r>
          </w:p>
        </w:tc>
        <w:tc>
          <w:tcPr>
            <w:tcW w:w="3350" w:type="dxa"/>
            <w:shd w:val="clear" w:fill="f5f5f5"/>
          </w:tcPr>
          <w:p>
            <w:pPr/>
            <w:r>
              <w:rPr>
                <w:b w:val="1"/>
                <w:bCs w:val="1"/>
              </w:rPr>
              <w:t xml:space="preserve">Predlogi ukrepov**</w:t>
            </w:r>
          </w:p>
        </w:tc>
        <w:tc>
          <w:tcPr>
            <w:tcW w:w="3350" w:type="dxa"/>
            <w:shd w:val="clear" w:fill="f5f5f5"/>
          </w:tcPr>
          <w:p>
            <w:pPr/>
            <w:r>
              <w:rPr>
                <w:b w:val="1"/>
                <w:bCs w:val="1"/>
              </w:rPr>
              <w:t xml:space="preserve">Odgovornost znotraj članice</w:t>
            </w:r>
          </w:p>
        </w:tc>
      </w:tr>
      <w:tr>
        <w:trPr>
          <w:trHeight w:val="300" w:hRule="atLeast"/>
        </w:trPr>
        <w:tc>
          <w:tcPr>
            <w:tcW w:w="500" w:type="dxa"/>
            <w:shd w:val="clear" w:fill="f5f5f5"/>
          </w:tcPr>
          <w:p>
            <w:pPr/>
            <w:r>
              <w:rPr>
                <w:sz w:val="18"/>
                <w:szCs w:val="18"/>
                <w:i w:val="1"/>
                <w:iCs w:val="1"/>
              </w:rPr>
              <w:t xml:space="preserve"/>
            </w:r>
          </w:p>
        </w:tc>
        <w:tc>
          <w:tcPr>
            <w:tcW w:w="3350" w:type="dxa"/>
            <w:shd w:val="clear" w:fill="f5f5f5"/>
          </w:tcPr>
          <w:p>
            <w:pPr/>
            <w:r>
              <w:rPr>
                <w:sz w:val="18"/>
                <w:szCs w:val="18"/>
                <w:i w:val="1"/>
                <w:iCs w:val="1"/>
              </w:rPr>
              <w:t xml:space="preserve">priložnosti za izboljšave, ki ste jih zaznali v poročilu; predstavljajo izhodišče za nadaljnjo opredelitev slabosti/nevarnosti, postavljanje ciljev in oblikovanje ukrepov</w:t>
            </w:r>
          </w:p>
        </w:tc>
        <w:tc>
          <w:tcPr>
            <w:tcW w:w="3350" w:type="dxa"/>
            <w:shd w:val="clear" w:fill="f5f5f5"/>
          </w:tcPr>
          <w:p>
            <w:pPr/>
            <w:r>
              <w:rPr>
                <w:sz w:val="18"/>
                <w:szCs w:val="18"/>
                <w:i w:val="1"/>
                <w:iCs w:val="1"/>
              </w:rPr>
              <w:t xml:space="preserve">cilji so končni rezultati, ki jih želimo doseči z načrtovanimi ukrepi; cilje kvantificirajte z dveh vidikov, in sicer tako, da opredelite (1) kaj/koliko in (2) do kdaj je treba predvideni cilj doseči</w:t>
            </w:r>
          </w:p>
        </w:tc>
        <w:tc>
          <w:tcPr>
            <w:tcW w:w="3350" w:type="dxa"/>
            <w:shd w:val="clear" w:fill="f5f5f5"/>
          </w:tcPr>
          <w:p>
            <w:pPr/>
            <w:r>
              <w:rPr>
                <w:sz w:val="18"/>
                <w:szCs w:val="18"/>
                <w:i w:val="1"/>
                <w:iCs w:val="1"/>
              </w:rPr>
              <w:t xml:space="preserve">ukrepe zapišite kot konkretne aktivnosti, ki jih je treba izvesti, da se premaknemo iz sedanjega stanja, opisanega v stolpcu Slabosti /Nevarnosti, proti želenemu stanju, opisanemu v stolpcu Cilji</w:t>
            </w:r>
          </w:p>
        </w:tc>
        <w:tc>
          <w:tcPr>
            <w:tcW w:w="3350" w:type="dxa"/>
            <w:shd w:val="clear" w:fill="f5f5f5"/>
          </w:tcPr>
          <w:p>
            <w:pPr/>
            <w:r>
              <w:rPr>
                <w:sz w:val="18"/>
                <w:szCs w:val="18"/>
                <w:i w:val="1"/>
                <w:iCs w:val="1"/>
              </w:rPr>
              <w:t xml:space="preserve">primarno odgovornost za izvedbo pripišite konkretni osebi; zapišite ime in priimek osebe ter njeno funkcijo; če je smiselno, na enak način določite tudi morebitno sekundarno odgovornost drugih oseb</w:t>
            </w:r>
          </w:p>
        </w:tc>
      </w:tr>
      <w:tr>
        <w:trPr>
          <w:trHeight w:val="300" w:hRule="atLeast"/>
        </w:trPr>
        <w:tc>
          <w:tcPr>
            <w:tcW w:w="500" w:type="dxa"/>
          </w:tcPr>
          <w:p>
            <w:pPr/>
            <w:r>
              <w:rPr/>
              <w:t xml:space="preserve">2.</w:t>
            </w:r>
          </w:p>
        </w:tc>
        <w:tc>
          <w:tcPr>
            <w:tcW w:w="3350" w:type="dxa"/>
          </w:tcPr>
          <w:p>
            <w:pPr/>
            <w:r>
              <w:rPr/>
              <w:t xml:space="preserve">Pridobitev znanj s področij novih orodij najnovejših tehnologij, kot so umetna inteligenca in bioinformatika.</w:t>
            </w:r>
          </w:p>
        </w:tc>
        <w:tc>
          <w:tcPr>
            <w:tcW w:w="3350" w:type="dxa"/>
          </w:tcPr>
          <w:p>
            <w:pPr/>
            <w:r>
              <w:rPr/>
              <w:t xml:space="preserve">Večja seznanjenost z novimi orodji s področja generativne umetne inteligence in bioinformatike</w:t>
            </w:r>
          </w:p>
        </w:tc>
        <w:tc>
          <w:tcPr>
            <w:tcW w:w="3350" w:type="dxa"/>
          </w:tcPr>
          <w:p>
            <w:pPr/>
            <w:r>
              <w:rPr/>
              <w:t xml:space="preserve">BMB: Blaž Zupan je v predavanja na področju podatkovne analitike že vključil teme s področja generativne umetne inteligence in uporabe temeljnih modelov pridobljenih s strojnim učenjem.</w:t>
            </w:r>
          </w:p>
        </w:tc>
        <w:tc>
          <w:tcPr>
            <w:tcW w:w="3350" w:type="dxa"/>
          </w:tcPr>
          <w:p>
            <w:pPr/>
            <w:r>
              <w:rPr/>
              <w:t xml:space="preserve">Nosilci in izvajalci modulov / predmetov</w:t>
            </w:r>
          </w:p>
        </w:tc>
      </w:tr>
      <w:tr>
        <w:trPr>
          <w:trHeight w:val="300" w:hRule="atLeast"/>
        </w:trPr>
        <w:tc>
          <w:tcPr>
            <w:tcW w:w="500" w:type="dxa"/>
          </w:tcPr>
          <w:p>
            <w:pPr/>
            <w:r>
              <w:rPr/>
              <w:t xml:space="preserve">2.</w:t>
            </w:r>
          </w:p>
        </w:tc>
        <w:tc>
          <w:tcPr>
            <w:tcW w:w="3350" w:type="dxa"/>
          </w:tcPr>
          <w:p>
            <w:pPr/>
            <w:r>
              <w:rPr/>
              <w:t xml:space="preserve">Javno zdravje: Izboljševanje metodologije spremljanja kompetenc in doseganja intermediarnih ciljev v zvezi s prijavo teme.</w:t>
            </w:r>
          </w:p>
        </w:tc>
        <w:tc>
          <w:tcPr>
            <w:tcW w:w="3350" w:type="dxa"/>
          </w:tcPr>
          <w:p>
            <w:pPr/>
            <w:r>
              <w:rPr/>
              <w:t xml:space="preserve">Boljše spremljanja kompetenc in doseganja intermediarnih ciljev v zvezi s prijavo teme.</w:t>
            </w:r>
          </w:p>
        </w:tc>
        <w:tc>
          <w:tcPr>
            <w:tcW w:w="3350" w:type="dxa"/>
          </w:tcPr>
          <w:p>
            <w:pPr/>
            <w:r>
              <w:rPr/>
              <w:t xml:space="preserve">Dosedanje spremljanje razvoja ideje za doktorsko raziskavo, ki so jo študentje predložili ob prijavi na študij, se je pokazalo kot učinkovito in zelo dobro sprejeto s strani študentov, bi pa v prihodnje želeli metodologijo izboljševati.</w:t>
            </w:r>
          </w:p>
        </w:tc>
        <w:tc>
          <w:tcPr>
            <w:tcW w:w="3350" w:type="dxa"/>
          </w:tcPr>
          <w:p>
            <w:pPr/>
            <w:r>
              <w:rPr/>
              <w:t xml:space="preserve">Koordinatorica in mentorji s področja Javno zdravje.</w:t>
            </w:r>
          </w:p>
        </w:tc>
      </w:tr>
      <w:tr>
        <w:trPr>
          <w:trHeight w:val="300" w:hRule="atLeast"/>
        </w:trPr>
        <w:tc>
          <w:tcPr>
            <w:tcW w:w="500" w:type="dxa"/>
          </w:tcPr>
          <w:p>
            <w:pPr/>
            <w:r>
              <w:rPr/>
              <w:t xml:space="preserve">2.</w:t>
            </w:r>
          </w:p>
        </w:tc>
        <w:tc>
          <w:tcPr>
            <w:tcW w:w="3350" w:type="dxa"/>
          </w:tcPr>
          <w:p>
            <w:pPr/>
            <w:r>
              <w:rPr/>
              <w:t xml:space="preserve">Javno zdravje: skrb za ohranjanje kvalitete domačih revij z IF, v katerih lahko doktoranti obljavljajo članke.</w:t>
            </w:r>
          </w:p>
        </w:tc>
        <w:tc>
          <w:tcPr>
            <w:tcW w:w="3350" w:type="dxa"/>
          </w:tcPr>
          <w:p>
            <w:pPr/>
            <w:r>
              <w:rPr/>
              <w:t xml:space="preserve">Kvalitetne domače revije z IF, v katerih lahko doktorandi objavljajo članke.  </w:t>
            </w:r>
          </w:p>
        </w:tc>
        <w:tc>
          <w:tcPr>
            <w:tcW w:w="3350" w:type="dxa"/>
          </w:tcPr>
          <w:p>
            <w:pPr/>
            <w:r>
              <w:rPr/>
              <w:t xml:space="preserve">Takšna revija je tudi Zdravstveno varstvo – Slovenian Journal of Public Health, ki je ob koncu študijskega leta 24/25 prejela v bazi JCR za leto 2024 IF 2.5 in bila uvrščena v II. kvartil v svoji kategoriji.  Raziskovalci in učitelji na področju Javnega zdravja v Sloveniji lahko s kvalitetnimi in odmevnimi objavami tej reviji revijo obdržijo na visoki ravni ali jo dvignejo na še višjo raven. S tem bodo doktorski študentje področja Javno zdravje imeli na voljo ustrezno objavo za dokončanje študija doma.</w:t>
            </w:r>
          </w:p>
        </w:tc>
        <w:tc>
          <w:tcPr>
            <w:tcW w:w="3350" w:type="dxa"/>
          </w:tcPr>
          <w:p>
            <w:pPr/>
            <w:r>
              <w:rPr/>
              <w:t xml:space="preserve">Raziskovalci in učitelji na področju Javnega zdravja</w:t>
            </w:r>
          </w:p>
        </w:tc>
      </w:tr>
      <w:tr>
        <w:trPr>
          <w:trHeight w:val="300" w:hRule="atLeast"/>
        </w:trPr>
        <w:tc>
          <w:tcPr>
            <w:tcW w:w="500" w:type="dxa"/>
          </w:tcPr>
          <w:p>
            <w:pPr/>
            <w:r>
              <w:rPr/>
              <w:t xml:space="preserve">2.</w:t>
            </w:r>
          </w:p>
        </w:tc>
        <w:tc>
          <w:tcPr>
            <w:tcW w:w="3350" w:type="dxa"/>
          </w:tcPr>
          <w:p>
            <w:pPr/>
            <w:r>
              <w:rPr/>
              <w:t xml:space="preserve">Vse smeri: Izboljšanje pogojev raziskovalnega dela z izgradnjo objektov VF, MF in FFA  bo zagotovo vplivalo tudi na izboljšanje kompetenc doktorandov. </w:t>
            </w:r>
          </w:p>
        </w:tc>
        <w:tc>
          <w:tcPr>
            <w:tcW w:w="3350" w:type="dxa"/>
          </w:tcPr>
          <w:p>
            <w:pPr/>
            <w:r>
              <w:rPr/>
              <w:t xml:space="preserve">Nova infrastruktura s sodobnimi pedagoškimi in raziskovalnimi prostori, tudi za izvedbo doktorskega študija</w:t>
            </w:r>
          </w:p>
        </w:tc>
        <w:tc>
          <w:tcPr>
            <w:tcW w:w="3350" w:type="dxa"/>
          </w:tcPr>
          <w:p>
            <w:pPr/>
            <w:r>
              <w:rPr/>
              <w:t xml:space="preserve">MF: Čeprav izgradnja uspešno poteka, doktorski programi nimajo pristojnosti v zvezi z gradnjo. Kljub temu učitelji in raziskovalci aktivno sodelujejo pri načrtovanju in opremljanju raziskovalnih in pedagoških prostorov, da bodo primerni tudi za izvedbo doktorskega študija – tako organiziranih oblik, kot tudi individualnega raziskovalnega dela doktorskih študentov.</w:t>
            </w:r>
          </w:p>
        </w:tc>
        <w:tc>
          <w:tcPr>
            <w:tcW w:w="3350" w:type="dxa"/>
          </w:tcPr>
          <w:p>
            <w:pPr/>
            <w:r>
              <w:rPr/>
              <w:t xml:space="preserve">Pristojnosti so na ravni rektorja in dekanov. Koordinatorji, učitelji in raziskovalci nimajo pristojnosti v zvezi z gradnjo.</w:t>
            </w:r>
          </w:p>
        </w:tc>
      </w:tr>
      <w:tr>
        <w:trPr>
          <w:trHeight w:val="300" w:hRule="atLeast"/>
        </w:trPr>
        <w:tc>
          <w:tcPr>
            <w:tcW w:w="500" w:type="dxa"/>
          </w:tcPr>
          <w:p>
            <w:pPr/>
            <w:r>
              <w:rPr/>
              <w:t xml:space="preserve">3.</w:t>
            </w:r>
          </w:p>
        </w:tc>
        <w:tc>
          <w:tcPr>
            <w:tcW w:w="3350" w:type="dxa"/>
          </w:tcPr>
          <w:p>
            <w:pPr/>
            <w:r>
              <w:rPr/>
              <w:t xml:space="preserve">Veterinarska medicina: spodbujanje izvajanja doktorskih raziskav v sodelovanju s tujimi raziskovalnimi skupinami in opravljanje mednarodnih specializacij.</w:t>
            </w:r>
          </w:p>
        </w:tc>
        <w:tc>
          <w:tcPr>
            <w:tcW w:w="3350" w:type="dxa"/>
          </w:tcPr>
          <w:p>
            <w:pPr/>
            <w:r>
              <w:rPr/>
              <w:t xml:space="preserve">Veterinarska medicina: Večja vpetost študentov v mednarodni prostor. Genetika: obseg posodabljanja je odvisen od vsebine in delež je večji pri področjih, katerih razvoj je hitrejši in manjši pri uveljavljenih konceptih; posodabljanje poteka sproti, vsako leto.</w:t>
            </w:r>
          </w:p>
        </w:tc>
        <w:tc>
          <w:tcPr>
            <w:tcW w:w="3350" w:type="dxa"/>
          </w:tcPr>
          <w:p>
            <w:pPr/>
            <w:r>
              <w:rPr/>
              <w:t xml:space="preserve">Veterinarska medicina: Kot priložnost za izboljšanje predlagamo da študenti 1. in/ali najpozneje 2. letnika  skupaj z mentorji pripravijo osebni načrt mednarodnega usposabljanja, vključno z izborom konferenc in raziskovalnih obiskov, kar bo omogočilo pravočasno načrtovanje mobilnosti in večjo vpetost študentov v mednarodni prostor. 
Genetika: Predavatelji vsakoletno kritično pregledajo vsebine, ki jih predstavijo študentom in s tem zagotovijo njihovo aktualnost.
</w:t>
            </w:r>
          </w:p>
        </w:tc>
        <w:tc>
          <w:tcPr>
            <w:tcW w:w="3350" w:type="dxa"/>
          </w:tcPr>
          <w:p>
            <w:pPr/>
            <w:r>
              <w:rPr/>
              <w:t xml:space="preserve">Veterinarska medicina: Koordinator in namestnica koordinatorja (tudi nosilka temeljnega predmeta) prof. dr. Robert Frangež in prof. dr. Milka Vrecl Fazarinc 
Genetika: Za posodabljanje so odgovorni posamezni izvajalci.</w:t>
            </w:r>
          </w:p>
        </w:tc>
      </w:tr>
      <w:tr>
        <w:trPr>
          <w:trHeight w:val="300" w:hRule="atLeast"/>
        </w:trPr>
        <w:tc>
          <w:tcPr>
            <w:tcW w:w="500" w:type="dxa"/>
          </w:tcPr>
          <w:p>
            <w:pPr/>
            <w:r>
              <w:rPr/>
              <w:t xml:space="preserve">3.</w:t>
            </w:r>
          </w:p>
        </w:tc>
        <w:tc>
          <w:tcPr>
            <w:tcW w:w="3350" w:type="dxa"/>
          </w:tcPr>
          <w:p>
            <w:pPr/>
            <w:r>
              <w:rPr/>
              <w:t xml:space="preserve">MF: Pridobitev znanj s področij novih orodij umetne inteligence in bioinformatike. </w:t>
            </w:r>
          </w:p>
        </w:tc>
        <w:tc>
          <w:tcPr>
            <w:tcW w:w="3350" w:type="dxa"/>
          </w:tcPr>
          <w:p>
            <w:pPr/>
            <w:r>
              <w:rPr/>
              <w:t xml:space="preserve">Večja seznanjenost z novimi orodji s področja generativne umetne inteligence in bioinformatike</w:t>
            </w:r>
          </w:p>
        </w:tc>
        <w:tc>
          <w:tcPr>
            <w:tcW w:w="3350" w:type="dxa"/>
          </w:tcPr>
          <w:p>
            <w:pPr/>
            <w:r>
              <w:rPr/>
              <w:t xml:space="preserve">Delno se to že realizira na področju BMB: Blaž Zupan je v predavanja na področju podatkovne analitike že vključil teme s področja generativne umetne inteligence in uporabe temeljnih modelov pridobljenih s strojnim učenjem.</w:t>
            </w:r>
          </w:p>
        </w:tc>
        <w:tc>
          <w:tcPr>
            <w:tcW w:w="3350" w:type="dxa"/>
          </w:tcPr>
          <w:p>
            <w:pPr/>
            <w:r>
              <w:rPr/>
              <w:t xml:space="preserve">Nosilci in izvajalci modulov / predmetov</w:t>
            </w:r>
          </w:p>
        </w:tc>
      </w:tr>
      <w:tr>
        <w:trPr>
          <w:trHeight w:val="300" w:hRule="atLeast"/>
        </w:trPr>
        <w:tc>
          <w:tcPr>
            <w:tcW w:w="500" w:type="dxa"/>
          </w:tcPr>
          <w:p>
            <w:pPr/>
            <w:r>
              <w:rPr/>
              <w:t xml:space="preserve">3.</w:t>
            </w:r>
          </w:p>
        </w:tc>
        <w:tc>
          <w:tcPr>
            <w:tcW w:w="3350" w:type="dxa"/>
          </w:tcPr>
          <w:p>
            <w:pPr/>
            <w:r>
              <w:rPr/>
              <w:t xml:space="preserve">MF: Javno zdravje: spremljanje potreb največjih zaposlovalcev.</w:t>
            </w:r>
          </w:p>
        </w:tc>
        <w:tc>
          <w:tcPr>
            <w:tcW w:w="3350" w:type="dxa"/>
          </w:tcPr>
          <w:p>
            <w:pPr/>
            <w:r>
              <w:rPr/>
              <w:t xml:space="preserve">Boljša usklajenost kompetenc doktorandov s potrebami zaposlovalcev</w:t>
            </w:r>
          </w:p>
        </w:tc>
        <w:tc>
          <w:tcPr>
            <w:tcW w:w="3350" w:type="dxa"/>
          </w:tcPr>
          <w:p>
            <w:pPr/>
            <w:r>
              <w:rPr/>
              <w:t xml:space="preserve">Nekatere priložnosti za izboljšave so bila predstavljene že v preteklosti, vendar se je realizacija premaknila v prihodnost zaradi oblikovanja novega znanstvenega področja v okviru programa Biomedicina - Znanstveni vidiki zdravstvenih strok, saj je velika neznanka, kako bo vključitev tega področja vplivalo na dinamiko vpisa na področje Javno zdravje, prav tako pa tudi na strukturo študentov. Priprava izboljšav se bo lahko tako začela v študijskem letu 25/26, ko se bodo doktorski kandidati prvič lahko vpisovali na novo področje.</w:t>
            </w:r>
          </w:p>
        </w:tc>
        <w:tc>
          <w:tcPr>
            <w:tcW w:w="3350" w:type="dxa"/>
          </w:tcPr>
          <w:p>
            <w:pPr/>
            <w:r>
              <w:rPr/>
              <w:t xml:space="preserve">Koordinatorji področja Javno zdravje in področja Znanstveni vidiki zdravstvenih strok.</w:t>
            </w:r>
          </w:p>
        </w:tc>
      </w:tr>
      <w:tr>
        <w:trPr>
          <w:trHeight w:val="300" w:hRule="atLeast"/>
        </w:trPr>
        <w:tc>
          <w:tcPr>
            <w:tcW w:w="500" w:type="dxa"/>
          </w:tcPr>
          <w:p>
            <w:pPr/>
            <w:r>
              <w:rPr/>
              <w:t xml:space="preserve">4.</w:t>
            </w:r>
          </w:p>
        </w:tc>
        <w:tc>
          <w:tcPr>
            <w:tcW w:w="3350" w:type="dxa"/>
          </w:tcPr>
          <w:p>
            <w:pPr/>
            <w:r>
              <w:rPr/>
              <w:t xml:space="preserve">Nevroznanost - dodatno vključevanje bioinformatike in umetne inteligence v učne načrte</w:t>
            </w:r>
          </w:p>
        </w:tc>
        <w:tc>
          <w:tcPr>
            <w:tcW w:w="3350" w:type="dxa"/>
          </w:tcPr>
          <w:p>
            <w:pPr/>
            <w:r>
              <w:rPr/>
              <w:t xml:space="preserve">Večja seznanjenost z novimi orodji s področja generativne umetne inteligence in bioinformatike</w:t>
            </w:r>
          </w:p>
        </w:tc>
        <w:tc>
          <w:tcPr>
            <w:tcW w:w="3350" w:type="dxa"/>
          </w:tcPr>
          <w:p>
            <w:pPr/>
            <w:r>
              <w:rPr/>
              <w:t xml:space="preserve">BMB: Blaž Zupan je v predavanja na področju podatkovne analitike že vključil teme s področja generativne umetne inteligence in uporabe temeljnih modelov pridobljenih s strojnim učenjem.</w:t>
            </w:r>
          </w:p>
        </w:tc>
        <w:tc>
          <w:tcPr>
            <w:tcW w:w="3350" w:type="dxa"/>
          </w:tcPr>
          <w:p>
            <w:pPr/>
            <w:r>
              <w:rPr/>
              <w:t xml:space="preserve">Nosilci in izvajalci modulov / predmetov</w:t>
            </w:r>
          </w:p>
        </w:tc>
      </w:tr>
      <w:tr>
        <w:trPr>
          <w:trHeight w:val="300" w:hRule="atLeast"/>
        </w:trPr>
        <w:tc>
          <w:tcPr>
            <w:tcW w:w="500" w:type="dxa"/>
          </w:tcPr>
          <w:p>
            <w:pPr/>
            <w:r>
              <w:rPr/>
              <w:t xml:space="preserve">4.</w:t>
            </w:r>
          </w:p>
        </w:tc>
        <w:tc>
          <w:tcPr>
            <w:tcW w:w="3350" w:type="dxa"/>
          </w:tcPr>
          <w:p>
            <w:pPr/>
            <w:r>
              <w:rPr/>
              <w:t xml:space="preserve">Nevroznanost - povečanje števila mednarodnih mentorjev in so-mentorstev</w:t>
            </w:r>
          </w:p>
        </w:tc>
        <w:tc>
          <w:tcPr>
            <w:tcW w:w="3350" w:type="dxa"/>
          </w:tcPr>
          <w:p>
            <w:pPr/>
            <w:r>
              <w:rPr/>
              <w:t xml:space="preserve">Več mednarodnih mentorjev in so-mentorstev</w:t>
            </w:r>
          </w:p>
        </w:tc>
        <w:tc>
          <w:tcPr>
            <w:tcW w:w="3350" w:type="dxa"/>
          </w:tcPr>
          <w:p>
            <w:pPr/>
            <w:r>
              <w:rPr/>
              <w:t xml:space="preserve">Za sofinanciranje mednarodne dejavnosti učiteljev se vsako leto že namenja en odstotek od vseh zbranih prihodkov od šolnin, v okviru tega se spodbuja tudi obiske tujih mentorjev in somentorjev.</w:t>
            </w:r>
          </w:p>
        </w:tc>
        <w:tc>
          <w:tcPr>
            <w:tcW w:w="3350" w:type="dxa"/>
          </w:tcPr>
          <w:p>
            <w:pPr/>
            <w:r>
              <w:rPr/>
              <w:t xml:space="preserve">Programski svet Biomedicina pripravi in objavi razpis za sofinanciranje mednarodne dejavnosti učiteljev ter imenuje delovno skupino za pregled vlog. Učitelji podajo prijave na razpis za sofinanciranje mednarodne dejavnosti, ki vključuje tudi obiske mentorjev / somentorjev iz tujine.</w:t>
            </w:r>
          </w:p>
        </w:tc>
      </w:tr>
      <w:tr>
        <w:trPr>
          <w:trHeight w:val="300" w:hRule="atLeast"/>
        </w:trPr>
        <w:tc>
          <w:tcPr>
            <w:tcW w:w="500" w:type="dxa"/>
          </w:tcPr>
          <w:p>
            <w:pPr/>
            <w:r>
              <w:rPr/>
              <w:t xml:space="preserve">4.</w:t>
            </w:r>
          </w:p>
        </w:tc>
        <w:tc>
          <w:tcPr>
            <w:tcW w:w="3350" w:type="dxa"/>
          </w:tcPr>
          <w:p>
            <w:pPr/>
            <w:r>
              <w:rPr/>
              <w:t xml:space="preserve">Javno zdravje: Priložnost za še nadaljnje izboljševanje načina poučevanja na področju Javno zdravje, ki je kratkoročno izvedljiva, je vpeljava pogovora s študenti na koncu prvega letnika študija.</w:t>
            </w:r>
          </w:p>
        </w:tc>
        <w:tc>
          <w:tcPr>
            <w:tcW w:w="3350" w:type="dxa"/>
          </w:tcPr>
          <w:p>
            <w:pPr/>
            <w:r>
              <w:rPr/>
              <w:t xml:space="preserve">Poučevanje usklajeno s potrebami področja (stroke) in študentov</w:t>
            </w:r>
          </w:p>
        </w:tc>
        <w:tc>
          <w:tcPr>
            <w:tcW w:w="3350" w:type="dxa"/>
          </w:tcPr>
          <w:p>
            <w:pPr/>
            <w:r>
              <w:rPr/>
              <w:t xml:space="preserve">Kratkoročno izvedljiva možnost je vpeljava pogovora s študenti na koncu prvega letnika študija.</w:t>
            </w:r>
          </w:p>
        </w:tc>
        <w:tc>
          <w:tcPr>
            <w:tcW w:w="3350" w:type="dxa"/>
          </w:tcPr>
          <w:p>
            <w:pPr/>
            <w:r>
              <w:rPr/>
              <w:t xml:space="preserve">Koordinatorica in nosilci in izvajalci modulov / predmetov</w:t>
            </w:r>
          </w:p>
        </w:tc>
      </w:tr>
      <w:tr>
        <w:trPr>
          <w:trHeight w:val="300" w:hRule="atLeast"/>
        </w:trPr>
        <w:tc>
          <w:tcPr>
            <w:tcW w:w="500" w:type="dxa"/>
          </w:tcPr>
          <w:p>
            <w:pPr/>
            <w:r>
              <w:rPr/>
              <w:t xml:space="preserve">5.a</w:t>
            </w:r>
          </w:p>
        </w:tc>
        <w:tc>
          <w:tcPr>
            <w:tcW w:w="3350" w:type="dxa"/>
          </w:tcPr>
          <w:p>
            <w:pPr/>
            <w:r>
              <w:rPr/>
              <w:t xml:space="preserve">Analiza stanja zaključevanja študentov na različnih področjih Biomedicine in rešitve za povečanje zaključevanja študija.</w:t>
            </w:r>
          </w:p>
        </w:tc>
        <w:tc>
          <w:tcPr>
            <w:tcW w:w="3350" w:type="dxa"/>
          </w:tcPr>
          <w:p>
            <w:pPr/>
            <w:r>
              <w:rPr/>
              <w:t xml:space="preserve">Bolj uspešno in pravočasno zaključevanje doktorskega študija</w:t>
            </w:r>
          </w:p>
        </w:tc>
        <w:tc>
          <w:tcPr>
            <w:tcW w:w="3350" w:type="dxa"/>
          </w:tcPr>
          <w:p>
            <w:pPr/>
            <w:r>
              <w:rPr/>
              <w:t xml:space="preserve">Potrebno je zbrati podatke, na katerih smereh imajo študenti več težav z zaključevanjem študija in identificirati možne vzroke.  </w:t>
            </w:r>
          </w:p>
        </w:tc>
        <w:tc>
          <w:tcPr>
            <w:tcW w:w="3350" w:type="dxa"/>
          </w:tcPr>
          <w:p>
            <w:pPr/>
            <w:r>
              <w:rPr/>
              <w:t xml:space="preserve">Strokovne službe na posameznih  fakultetah</w:t>
            </w:r>
          </w:p>
        </w:tc>
      </w:tr>
      <w:tr>
        <w:trPr>
          <w:trHeight w:val="300" w:hRule="atLeast"/>
        </w:trPr>
        <w:tc>
          <w:tcPr>
            <w:tcW w:w="500" w:type="dxa"/>
          </w:tcPr>
          <w:p>
            <w:pPr/>
            <w:r>
              <w:rPr/>
              <w:t xml:space="preserve">5.a</w:t>
            </w:r>
          </w:p>
        </w:tc>
        <w:tc>
          <w:tcPr>
            <w:tcW w:w="3350" w:type="dxa"/>
          </w:tcPr>
          <w:p>
            <w:pPr/>
            <w:r>
              <w:rPr/>
              <w:t xml:space="preserve">Na področju Nevroznanost bi si želeli  povečanje števila MR-jev, ker se samo le-ti lahko v celoti posvečajo raziskovalnemu delu.</w:t>
            </w:r>
          </w:p>
        </w:tc>
        <w:tc>
          <w:tcPr>
            <w:tcW w:w="3350" w:type="dxa"/>
          </w:tcPr>
          <w:p>
            <w:pPr/>
            <w:r>
              <w:rPr/>
              <w:t xml:space="preserve">Večji delež MRjev na študijskem področju Nevroznanosti.</w:t>
            </w:r>
          </w:p>
        </w:tc>
        <w:tc>
          <w:tcPr>
            <w:tcW w:w="3350" w:type="dxa"/>
          </w:tcPr>
          <w:p>
            <w:pPr/>
            <w:r>
              <w:rPr/>
              <w:t xml:space="preserve">Na samo število MR-jev na področju nimamo vpliva. MR-ji na UL se dodeljujejo programom po določeni shemi. Za odlične mentorje so na voljo dodatna mesta za MR-je. Odlične mentorje s področja nevroznanosti je potrebno spodbujati, da se prijavijo na razpis na odlične mentorje.</w:t>
            </w:r>
          </w:p>
        </w:tc>
        <w:tc>
          <w:tcPr>
            <w:tcW w:w="3350" w:type="dxa"/>
          </w:tcPr>
          <w:p>
            <w:pPr/>
            <w:r>
              <w:rPr/>
              <w:t xml:space="preserve">Mentorji, ki izpolnjujejo kriterije za odlične mentorje.</w:t>
            </w:r>
          </w:p>
        </w:tc>
      </w:tr>
      <w:tr>
        <w:trPr>
          <w:trHeight w:val="300" w:hRule="atLeast"/>
        </w:trPr>
        <w:tc>
          <w:tcPr>
            <w:tcW w:w="500" w:type="dxa"/>
          </w:tcPr>
          <w:p>
            <w:pPr/>
            <w:r>
              <w:rPr/>
              <w:t xml:space="preserve">5.b</w:t>
            </w:r>
          </w:p>
        </w:tc>
        <w:tc>
          <w:tcPr>
            <w:tcW w:w="3350" w:type="dxa"/>
          </w:tcPr>
          <w:p>
            <w:pPr/>
            <w:r>
              <w:rPr/>
              <w:t xml:space="preserve">MF: Medicina – klinična usmeritev, Medicina – temeljna usmeritev, Biokemija in molekularna biologija, Medicinska mikrobiologija, Nevroznanost: uporaba IKT učnih orodij za spodbujanje sodelovanja študentov in za sprotno preverjanje osvojenega znanja, kar bo dodatno izboljšalo osredinjeno učenje in poučevanje in s tem kvaliteto študijskega programa.</w:t>
            </w:r>
          </w:p>
        </w:tc>
        <w:tc>
          <w:tcPr>
            <w:tcW w:w="3350" w:type="dxa"/>
          </w:tcPr>
          <w:p>
            <w:pPr/>
            <w:r>
              <w:rPr/>
              <w:t xml:space="preserve">Bolj razširjena uporaba IKT učnih orodij za spodbujanje sodelovanja študentov in za sprotno preverjanje usvojenega znanja.</w:t>
            </w:r>
          </w:p>
        </w:tc>
        <w:tc>
          <w:tcPr>
            <w:tcW w:w="3350" w:type="dxa"/>
          </w:tcPr>
          <w:p>
            <w:pPr/>
            <w:r>
              <w:rPr/>
              <w:t xml:space="preserve">MF je razširila nabor IKT orodij, tako da so na voljo naslednja orodja: Mentimeter, Formative, Adobe Creative Cloud ter Moodle spletno učilnico z integriranim H5P in drugimi orodji, ki jih bodo izvajalci v naslednjem šolskem letu lahko začeli postopoma uvajati v pedagoško delo.</w:t>
            </w:r>
          </w:p>
        </w:tc>
        <w:tc>
          <w:tcPr>
            <w:tcW w:w="3350" w:type="dxa"/>
          </w:tcPr>
          <w:p>
            <w:pPr/>
            <w:r>
              <w:rPr/>
              <w:t xml:space="preserve">Nosilci in izvajalci študijskih modulov in predmetov.</w:t>
            </w:r>
          </w:p>
        </w:tc>
      </w:tr>
      <w:tr>
        <w:trPr>
          <w:trHeight w:val="300" w:hRule="atLeast"/>
        </w:trPr>
        <w:tc>
          <w:tcPr>
            <w:tcW w:w="500" w:type="dxa"/>
          </w:tcPr>
          <w:p>
            <w:pPr/>
            <w:r>
              <w:rPr/>
              <w:t xml:space="preserve">5.b</w:t>
            </w:r>
          </w:p>
        </w:tc>
        <w:tc>
          <w:tcPr>
            <w:tcW w:w="3350" w:type="dxa"/>
          </w:tcPr>
          <w:p>
            <w:pPr/>
            <w:r>
              <w:rPr/>
              <w:t xml:space="preserve">MF Nevroznanost: formalizacija letnih srečanj mentorjev in študentov za spremljanje napredka in izmenjavo dobrih praks</w:t>
            </w:r>
          </w:p>
        </w:tc>
        <w:tc>
          <w:tcPr>
            <w:tcW w:w="3350" w:type="dxa"/>
          </w:tcPr>
          <w:p>
            <w:pPr/>
            <w:r>
              <w:rPr/>
              <w:t xml:space="preserve">Boljši pregled nad napredkom študentov</w:t>
            </w:r>
          </w:p>
        </w:tc>
        <w:tc>
          <w:tcPr>
            <w:tcW w:w="3350" w:type="dxa"/>
          </w:tcPr>
          <w:p>
            <w:pPr/>
            <w:r>
              <w:rPr/>
              <w:t xml:space="preserve">Organizacija letnih srečanj mentorjev in študentov Nevroznanosti za spremljanje napredka in izmenjavo dobrih praks. Dobre prakse se lahko kasneje prenesejo tudi na druga študijska področja.</w:t>
            </w:r>
          </w:p>
        </w:tc>
        <w:tc>
          <w:tcPr>
            <w:tcW w:w="3350" w:type="dxa"/>
          </w:tcPr>
          <w:p>
            <w:pPr/>
            <w:r>
              <w:rPr/>
              <w:t xml:space="preserve">Koordinator in mentorji MF – Nevroznanosti (kasneje tudi drugih študijskih področij).</w:t>
            </w:r>
          </w:p>
        </w:tc>
      </w:tr>
      <w:tr>
        <w:trPr>
          <w:trHeight w:val="300" w:hRule="atLeast"/>
        </w:trPr>
        <w:tc>
          <w:tcPr>
            <w:tcW w:w="500" w:type="dxa"/>
          </w:tcPr>
          <w:p>
            <w:pPr/>
            <w:r>
              <w:rPr/>
              <w:t xml:space="preserve">5.b</w:t>
            </w:r>
          </w:p>
        </w:tc>
        <w:tc>
          <w:tcPr>
            <w:tcW w:w="3350" w:type="dxa"/>
          </w:tcPr>
          <w:p>
            <w:pPr/>
            <w:r>
              <w:rPr/>
              <w:t xml:space="preserve">MF Nevroznanost: sistematično spremljanje kariere diplomantov (zaposljivost, raziskovalna pot)</w:t>
            </w:r>
          </w:p>
        </w:tc>
        <w:tc>
          <w:tcPr>
            <w:tcW w:w="3350" w:type="dxa"/>
          </w:tcPr>
          <w:p>
            <w:pPr/>
            <w:r>
              <w:rPr/>
              <w:t xml:space="preserve">Spremljanje karierne poti diplomantov.</w:t>
            </w:r>
          </w:p>
        </w:tc>
        <w:tc>
          <w:tcPr>
            <w:tcW w:w="3350" w:type="dxa"/>
          </w:tcPr>
          <w:p>
            <w:pPr/>
            <w:r>
              <w:rPr/>
              <w:t xml:space="preserve">Spremljanje raziskovalne uspešnosti diplomantov je možno preko spremljanja objav, zavedenih v podatkovni bazi SICRIS, vendar le za diplomante, ki imajo šifro raziskovalca. Komisija za doktorski študij MF v sodelovanju z Referatom za doktorski študij redno spremlja bibilometrične kazalce diplomantov. Nimamo pa orodij za spremljanje zaposljivosti diplomantov doma ali v tujini.</w:t>
            </w:r>
          </w:p>
        </w:tc>
        <w:tc>
          <w:tcPr>
            <w:tcW w:w="3350" w:type="dxa"/>
          </w:tcPr>
          <w:p>
            <w:pPr/>
            <w:r>
              <w:rPr/>
              <w:t xml:space="preserve">MF: Strokovne službe in Komisija za doktorski študij</w:t>
            </w:r>
          </w:p>
        </w:tc>
      </w:tr>
      <w:tr>
        <w:trPr>
          <w:trHeight w:val="300" w:hRule="atLeast"/>
        </w:trPr>
        <w:tc>
          <w:tcPr>
            <w:tcW w:w="500" w:type="dxa"/>
          </w:tcPr>
          <w:p>
            <w:pPr/>
            <w:r>
              <w:rPr/>
              <w:t xml:space="preserve">5.b</w:t>
            </w:r>
          </w:p>
        </w:tc>
        <w:tc>
          <w:tcPr>
            <w:tcW w:w="3350" w:type="dxa"/>
          </w:tcPr>
          <w:p>
            <w:pPr/>
            <w:r>
              <w:rPr/>
              <w:t xml:space="preserve">MF Javno zdravje: Priložnost za še nadaljnje izboljševanje spremljanja in zagotavljanja kakovosti pedagoškega procesa na področju Javno zdravje, ki je kratkoročno izvedljiva, je vpeljava pogovora s študenti na koncu prvega letnika študija.</w:t>
            </w:r>
          </w:p>
        </w:tc>
        <w:tc>
          <w:tcPr>
            <w:tcW w:w="3350" w:type="dxa"/>
          </w:tcPr>
          <w:p>
            <w:pPr/>
            <w:r>
              <w:rPr/>
              <w:t xml:space="preserve">Zagotavljanje kakovosti pedagoškega procesa</w:t>
            </w:r>
          </w:p>
        </w:tc>
        <w:tc>
          <w:tcPr>
            <w:tcW w:w="3350" w:type="dxa"/>
          </w:tcPr>
          <w:p>
            <w:pPr/>
            <w:r>
              <w:rPr/>
              <w:t xml:space="preserve">Kratkoročno izvedljiva možnost je vpeljava pogovora s študenti na koncu prvega letnika študija.</w:t>
            </w:r>
          </w:p>
        </w:tc>
        <w:tc>
          <w:tcPr>
            <w:tcW w:w="3350" w:type="dxa"/>
          </w:tcPr>
          <w:p>
            <w:pPr/>
            <w:r>
              <w:rPr/>
              <w:t xml:space="preserve">Nosilci in izvajalci modulov / predmetov</w:t>
            </w:r>
          </w:p>
        </w:tc>
      </w:tr>
      <w:tr>
        <w:trPr>
          <w:trHeight w:val="300" w:hRule="atLeast"/>
        </w:trPr>
        <w:tc>
          <w:tcPr>
            <w:tcW w:w="500" w:type="dxa"/>
          </w:tcPr>
          <w:p>
            <w:pPr/>
            <w:r>
              <w:rPr/>
              <w:t xml:space="preserve">5.b</w:t>
            </w:r>
          </w:p>
        </w:tc>
        <w:tc>
          <w:tcPr>
            <w:tcW w:w="3350" w:type="dxa"/>
          </w:tcPr>
          <w:p>
            <w:pPr/>
            <w:r>
              <w:rPr/>
              <w:t xml:space="preserve">VF:
Rezultati ankete na VF v prvem in drugem letniku kažejo na nizko zadovoljstvo glede možnosti raziskovalnega dela  v  tujini, sodelovanja z raziskovalci ter udeležbe na mednarodnih srečanjih.</w:t>
            </w:r>
          </w:p>
        </w:tc>
        <w:tc>
          <w:tcPr>
            <w:tcW w:w="3350" w:type="dxa"/>
          </w:tcPr>
          <w:p>
            <w:pPr/>
            <w:r>
              <w:rPr/>
              <w:t xml:space="preserve">Večja vpetost študentov v mednarodni prostor.</w:t>
            </w:r>
          </w:p>
        </w:tc>
        <w:tc>
          <w:tcPr>
            <w:tcW w:w="3350" w:type="dxa"/>
          </w:tcPr>
          <w:p>
            <w:pPr/>
            <w:r>
              <w:rPr/>
              <w:t xml:space="preserve">Kot priložnost za izboljšanje predlagamo da študenti 1. in/ali najpozneje 2. letnika  skupaj z mentorji pripravijo osebni načrt mednarodnega usposabljanja, vključno z izborom konferenc in raziskovalnih obiskov, kar bo omogočilo pravočasno načrtovanje mobilnosti in večjo vpetost študentov v mednarodni prostor.</w:t>
            </w:r>
          </w:p>
        </w:tc>
        <w:tc>
          <w:tcPr>
            <w:tcW w:w="3350" w:type="dxa"/>
          </w:tcPr>
          <w:p>
            <w:pPr/>
            <w:r>
              <w:rPr/>
              <w:t xml:space="preserve">Koordinator in namestnica koordinatorja (tudi nosilka temeljnega predmeta) prof. dr. Robert Frangež in prof. dr. Milka Vrecl Fazarinc</w:t>
            </w:r>
          </w:p>
        </w:tc>
      </w:tr>
      <w:tr>
        <w:trPr>
          <w:trHeight w:val="300" w:hRule="atLeast"/>
        </w:trPr>
        <w:tc>
          <w:tcPr>
            <w:tcW w:w="500" w:type="dxa"/>
          </w:tcPr>
          <w:p>
            <w:pPr/>
            <w:r>
              <w:rPr/>
              <w:t xml:space="preserve">5.č</w:t>
            </w:r>
          </w:p>
        </w:tc>
        <w:tc>
          <w:tcPr>
            <w:tcW w:w="3350" w:type="dxa"/>
          </w:tcPr>
          <w:p>
            <w:pPr/>
            <w:r>
              <w:rPr/>
              <w:t xml:space="preserve">MF Nevroznanost: formalizacija letnih srečanj mentorjev in študentov za spremljanje napredka in izmenjavo dobrih praks</w:t>
            </w:r>
          </w:p>
        </w:tc>
        <w:tc>
          <w:tcPr>
            <w:tcW w:w="3350" w:type="dxa"/>
          </w:tcPr>
          <w:p>
            <w:pPr/>
            <w:r>
              <w:rPr/>
              <w:t xml:space="preserve">Zagotavljanje kakovosti pedagoškega procesa – spremljanje napredka študentov in izmenjava dobrih praks</w:t>
            </w:r>
          </w:p>
        </w:tc>
        <w:tc>
          <w:tcPr>
            <w:tcW w:w="3350" w:type="dxa"/>
          </w:tcPr>
          <w:p>
            <w:pPr/>
            <w:r>
              <w:rPr/>
              <w:t xml:space="preserve">Organizacija letnih srečanj mentorjev in študentov Nevroznanosti za spremljanje napredka in izmenjavo dobrih praks. Dobre prakse se lahko kasneje prenesejo tudi na druga študijska področja.</w:t>
            </w:r>
          </w:p>
        </w:tc>
        <w:tc>
          <w:tcPr>
            <w:tcW w:w="3350" w:type="dxa"/>
          </w:tcPr>
          <w:p>
            <w:pPr/>
            <w:r>
              <w:rPr/>
              <w:t xml:space="preserve">Koordinator in mentorji MF – Nevroznanosti (kasneje tudi drugih študijskih področij).</w:t>
            </w:r>
          </w:p>
        </w:tc>
      </w:tr>
      <w:tr>
        <w:trPr>
          <w:trHeight w:val="300" w:hRule="atLeast"/>
        </w:trPr>
        <w:tc>
          <w:tcPr>
            <w:tcW w:w="500" w:type="dxa"/>
          </w:tcPr>
          <w:p>
            <w:pPr/>
            <w:r>
              <w:rPr/>
              <w:t xml:space="preserve">5.e</w:t>
            </w:r>
          </w:p>
        </w:tc>
        <w:tc>
          <w:tcPr>
            <w:tcW w:w="3350" w:type="dxa"/>
          </w:tcPr>
          <w:p>
            <w:pPr/>
            <w:r>
              <w:rPr/>
              <w:t xml:space="preserve">Bolje koriščenje delnega pedagoškega razbremenjevanja učiteljev, da se jim omogoči večji obseg raziskovalnega dela, katerega rezultate potem tudi prenašajo v pouk. </w:t>
            </w:r>
          </w:p>
        </w:tc>
        <w:tc>
          <w:tcPr>
            <w:tcW w:w="3350" w:type="dxa"/>
          </w:tcPr>
          <w:p>
            <w:pPr/>
            <w:r>
              <w:rPr/>
              <w:t xml:space="preserve">Zagotavljanje kakovosti pedagoškega procesa z omogočanjem večjega obsega raziskovalnega dela učiteljem na doktorskem študiju</w:t>
            </w:r>
          </w:p>
        </w:tc>
        <w:tc>
          <w:tcPr>
            <w:tcW w:w="3350" w:type="dxa"/>
          </w:tcPr>
          <w:p>
            <w:pPr/>
            <w:r>
              <w:rPr/>
              <w:t xml:space="preserve">Učitelji se lahko že sedaj delno pedagoško razbremenijo in jim je s tem omogočen večji obseg raziskovalnega dela, katerega rezultate potem tudi prenašajo v pouk. Vendar pa si morajo v primeru pedagoške razbremenitve učitelji večinoma sami iz raziskovalnih projektov zagotoviti vir sredstev za kritje dela osebnega dohodka</w:t>
            </w:r>
          </w:p>
        </w:tc>
        <w:tc>
          <w:tcPr>
            <w:tcW w:w="3350" w:type="dxa"/>
          </w:tcPr>
          <w:p>
            <w:pPr/>
            <w:r>
              <w:rPr/>
              <w:t xml:space="preserve">Pedagoške razbremenitve učiteljev UL odobri rektor na podlagi poziva članice.</w:t>
            </w:r>
          </w:p>
        </w:tc>
      </w:tr>
      <w:tr>
        <w:trPr>
          <w:trHeight w:val="300" w:hRule="atLeast"/>
        </w:trPr>
        <w:tc>
          <w:tcPr>
            <w:tcW w:w="500" w:type="dxa"/>
          </w:tcPr>
          <w:p>
            <w:pPr/>
            <w:r>
              <w:rPr/>
              <w:t xml:space="preserve">5.e</w:t>
            </w:r>
          </w:p>
        </w:tc>
        <w:tc>
          <w:tcPr>
            <w:tcW w:w="3350" w:type="dxa"/>
          </w:tcPr>
          <w:p>
            <w:pPr/>
            <w:r>
              <w:rPr/>
              <w:t xml:space="preserve">Spodbujanje učiteljev za udeležbo na pedagoških usposabljanjih.</w:t>
            </w:r>
          </w:p>
        </w:tc>
        <w:tc>
          <w:tcPr>
            <w:tcW w:w="3350" w:type="dxa"/>
          </w:tcPr>
          <w:p>
            <w:pPr/>
            <w:r>
              <w:rPr/>
              <w:t xml:space="preserve">Zagotavljanje kakovosti pedagoškega procesa z večjo pedagoško usposobljenostjo učiteljev</w:t>
            </w:r>
          </w:p>
        </w:tc>
        <w:tc>
          <w:tcPr>
            <w:tcW w:w="3350" w:type="dxa"/>
          </w:tcPr>
          <w:p>
            <w:pPr/>
            <w:r>
              <w:rPr/>
              <w:t xml:space="preserve">Učitelji imajo možnost pedagoškega usposabljanja na izobraževanjih INOVUP ali drugih usposabljanjih. Žal ima veliko učiteljev zaradi visoke obremenitve pri rednem delu in drugih obveznosti omejene možnosti za udeležbo v živo, nekoliko lažje se je udeleževati usposabljanj preko spleta.</w:t>
            </w:r>
          </w:p>
        </w:tc>
        <w:tc>
          <w:tcPr>
            <w:tcW w:w="3350" w:type="dxa"/>
          </w:tcPr>
          <w:p>
            <w:pPr/>
            <w:r>
              <w:rPr/>
              <w:t xml:space="preserve">UL učitelje redno obvešča o možnostih pedagoškega usposabljanja na izobraževanjih INOVUP.</w:t>
            </w:r>
          </w:p>
        </w:tc>
      </w:tr>
    </w:tbl>
    <w:sectPr>
      <w:type w:val="continuous"/>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rStyle w:val=""/>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10A21"/>
    <w:multiLevelType w:val="multilevel"/>
    <w:lvl w:ilvl="0">
      <w:start w:val="1"/>
      <w:numFmt w:val="decimal"/>
      <w:pStyle w:val="Heading1"/>
      <w:suff w:val="tab"/>
      <w:pPr>
        <w:tabs>
          <w:tab w:val="num"/>
        </w:tabs>
        <w:ind/>
      </w:pPr>
      <w:rPr>
        <w:rFonts/>
      </w:rPr>
    </w:lvl>
    <w:lvl w:ilvl="1">
      <w:start w:val="1"/>
      <w:numFmt w:val="decimal"/>
      <w:pStyle w:val="Heading2"/>
      <w:suff w:val="tab"/>
      <w:lvlText w:val="%2."/>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sl-SI"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sl-SI"/>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0" w:after="0"/>
      <w:numPr>
        <w:numId w:val="1"/>
        <w:ilvl w:val="0"/>
      </w:numPr>
      <w:outlineLvl w:val="0"/>
    </w:pPr>
    <w:rPr>
      <w:sz w:val="30"/>
      <w:szCs w:val="30"/>
      <w:b w:val="1"/>
      <w:bCs w:val="1"/>
    </w:rPr>
  </w:style>
  <w:style w:type="paragraph" w:styleId="Heading2">
    <w:link w:val="Heading2Char"/>
    <w:name w:val="heading 2"/>
    <w:basedOn w:val="Normal"/>
    <w:pPr>
      <w:spacing w:before="0" w:after="0"/>
      <w:numPr>
        <w:numId w:val="1"/>
        <w:ilvl w:val="1"/>
      </w:numPr>
      <w:outlineLvl w:val="1"/>
    </w:pPr>
    <w:rPr>
      <w:sz w:val="24"/>
      <w:szCs w:val="24"/>
      <w:b w:val="1"/>
      <w:bCs w:val="1"/>
    </w:rPr>
  </w:style>
  <w:style w:type="table" w:customStyle="1" w:styleId="box">
    <w:name w:val="box"/>
    <w:uiPriority w:val="99"/>
    <w:tblPr>
      <w:tblW w:w="0" w:type="auto"/>
      <w:tblLayout w:type="autofit"/>
      <w:bidiVisual w:val="0"/>
      <w:tblCellMar>
        <w:top w:w="50" w:type="dxa"/>
        <w:left w:w="50" w:type="dxa"/>
        <w:right w:w="50" w:type="dxa"/>
        <w:bottom w:w="50" w:type="dxa"/>
      </w:tblCellMar>
      <w:tblBorders>
        <w:top w:val="single" w:sz="2" w:color="666666"/>
        <w:left w:val="single" w:sz="2" w:color="666666"/>
        <w:right w:val="single" w:sz="2" w:color="666666"/>
        <w:bottom w:val="single" w:sz="2" w:color="666666"/>
        <w:insideH w:val="single" w:sz="2" w:color="666666"/>
        <w:insideV w:val="single" w:sz="2" w:color="666666"/>
      </w:tblBorders>
    </w:tblPr>
  </w:style>
  <w:style w:type="table" w:customStyle="1" w:styleId="table">
    <w:name w:val="table"/>
    <w:uiPriority w:val="99"/>
    <w:tblPr>
      <w:tblW w:w="0" w:type="auto"/>
      <w:tblLayout w:type="autofit"/>
      <w:bidiVisual w:val="0"/>
      <w:tblCellMar>
        <w:top w:w="50" w:type="dxa"/>
        <w:left w:w="50" w:type="dxa"/>
        <w:right w:w="50" w:type="dxa"/>
        <w:bottom w:w="50" w:type="dxa"/>
      </w:tblCellMar>
      <w:tblBorders>
        <w:top w:val="single" w:sz="2" w:color="666666"/>
        <w:left w:val="single" w:sz="2" w:color="666666"/>
        <w:right w:val="single" w:sz="2" w:color="666666"/>
        <w:bottom w:val="single" w:sz="2" w:color="666666"/>
        <w:insideH w:val="single" w:sz="2" w:color="666666"/>
        <w:insideV w:val="single" w:sz="2" w:color="666666"/>
      </w:tblBorders>
    </w:tblPr>
  </w:style>
  <w:style w:type="table" w:customStyle="1" w:styleId="image_holder">
    <w:name w:val="image_holder"/>
    <w:uiPriority w:val="99"/>
    <w:tblPr>
      <w:tblW w:w="0" w:type="auto"/>
      <w:tblLayout w:type="autofit"/>
      <w:bidiVisual w:val="0"/>
      <w:tblCellMar>
        <w:top w:w="150" w:type="dxa"/>
        <w:left w:w="150" w:type="dxa"/>
        <w:right w:w="150" w:type="dxa"/>
        <w:bottom w:w="15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character">
    <w:name w:val="CaptionFontStyle"/>
    <w:rPr>
      <w:color w:val="999999"/>
      <w:sz w:val="16"/>
      <w:szCs w:val="16"/>
    </w:rPr>
  </w:style>
  <w:style w:type="paragraph" w:customStyle="1" w:styleId="SpacingTableCaption">
    <w:name w:val="SpacingTableCaption"/>
    <w:basedOn w:val="Normal"/>
    <w:pPr>
      <w:spacing w:before="200" w:after="0" w:line="240" w:lineRule="auto"/>
    </w:pPr>
  </w:style>
  <w:style w:type="paragraph" w:customStyle="1" w:styleId="NoSpacing">
    <w:name w:val="NoSpacing"/>
    <w:basedOn w:val="Normal"/>
    <w:pPr>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ocanje.uni-lj.si/samoevalvacija/faq"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section_image1.png"/><Relationship Id="rId12" Type="http://schemas.openxmlformats.org/officeDocument/2006/relationships/hyperlink" Target="https://www.cmepius.si/wp-content/uploads/2014/02/Internacionalizacija-kurikuluma_NET.pdf" TargetMode="Externa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yperlink" Target="https://eua.eu/downloads/publications/student-centred%20learning_approaches%20to%20quality%20assurance%20report.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nakvis.si/wp-content/uploads/2018/11/Slovenski-prevod-ESG-2015.pdf" TargetMode="External"/><Relationship Id="rId4" Type="http://schemas.openxmlformats.org/officeDocument/2006/relationships/theme" Target="theme/theme1.xml"/><Relationship Id="rId9" Type="http://schemas.openxmlformats.org/officeDocument/2006/relationships/hyperlink" Target="https://www.unideusto.org/tuningeu/tuning-methodolog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e9367427d143067ffd96e157cbf642c9">
  <xsd:schema xmlns:xsd="http://www.w3.org/2001/XMLSchema" xmlns:xs="http://www.w3.org/2001/XMLSchema" xmlns:p="http://schemas.microsoft.com/office/2006/metadata/properties" xmlns:ns2="0f48a8d7-1ac6-4eb8-9b15-9ca601ca4102" targetNamespace="http://schemas.microsoft.com/office/2006/metadata/properties" ma:root="true" ma:fieldsID="a5a0c442ed6a857761e77a85f96b0922"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E2133-E73C-45ED-A352-42E47B7671B5}"/>
</file>

<file path=customXml/itemProps2.xml><?xml version="1.0" encoding="utf-8"?>
<ds:datastoreItem xmlns:ds="http://schemas.openxmlformats.org/officeDocument/2006/customXml" ds:itemID="{CDE85948-F4F2-4090-A484-5DC0F8AA7AA9}"/>
</file>

<file path=customXml/itemProps3.xml><?xml version="1.0" encoding="utf-8"?>
<ds:datastoreItem xmlns:ds="http://schemas.openxmlformats.org/officeDocument/2006/customXml" ds:itemID="{0BB02E2E-C755-4C6C-A84A-F8204B1F6AC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2026-03-06T08:24:23Z</dcterms:created>
  <dcterms:modified xsi:type="dcterms:W3CDTF">2026-03-06T08:24:23Z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