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CDC4" w14:textId="77777777" w:rsidR="00B63AAA" w:rsidRDefault="00911C9C">
      <w:pPr>
        <w:jc w:val="center"/>
      </w:pPr>
      <w:r>
        <w:pict w14:anchorId="0E53D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0pt;mso-position-horizontal:left;mso-position-horizontal-relative:char;mso-position-vertical:top;mso-position-vertical-relative:line">
            <v:imagedata r:id="rId10" o:title=""/>
          </v:shape>
        </w:pict>
      </w:r>
    </w:p>
    <w:p w14:paraId="0E53CDC5" w14:textId="2F7B440D" w:rsidR="00B63AAA" w:rsidRDefault="00911C9C">
      <w:pPr>
        <w:spacing w:before="1000"/>
        <w:jc w:val="center"/>
      </w:pPr>
      <w:r>
        <w:rPr>
          <w:b/>
          <w:bCs/>
          <w:sz w:val="56"/>
          <w:szCs w:val="56"/>
        </w:rPr>
        <w:t>Samoevalvacijski obrazec za let</w:t>
      </w:r>
      <w:r w:rsidR="00281CA5">
        <w:rPr>
          <w:b/>
          <w:bCs/>
          <w:sz w:val="56"/>
          <w:szCs w:val="56"/>
        </w:rPr>
        <w:t>i</w:t>
      </w:r>
      <w:r>
        <w:rPr>
          <w:b/>
          <w:bCs/>
          <w:sz w:val="56"/>
          <w:szCs w:val="56"/>
        </w:rPr>
        <w:t xml:space="preserve"> </w:t>
      </w:r>
      <w:r w:rsidR="00281CA5">
        <w:rPr>
          <w:b/>
          <w:bCs/>
          <w:sz w:val="56"/>
          <w:szCs w:val="56"/>
        </w:rPr>
        <w:t xml:space="preserve">2023/2024 in </w:t>
      </w:r>
      <w:r>
        <w:rPr>
          <w:b/>
          <w:bCs/>
          <w:sz w:val="56"/>
          <w:szCs w:val="56"/>
        </w:rPr>
        <w:t>2024/2025</w:t>
      </w:r>
    </w:p>
    <w:p w14:paraId="0E53CDC6" w14:textId="77777777" w:rsidR="00B63AAA" w:rsidRDefault="00911C9C">
      <w:pPr>
        <w:spacing w:before="500"/>
        <w:jc w:val="center"/>
      </w:pPr>
      <w:r>
        <w:rPr>
          <w:b/>
          <w:bCs/>
          <w:sz w:val="36"/>
          <w:szCs w:val="36"/>
        </w:rPr>
        <w:t>Statistika (1001061)</w:t>
      </w:r>
    </w:p>
    <w:p w14:paraId="0E53CDC7" w14:textId="77777777" w:rsidR="00B63AAA" w:rsidRDefault="00B63AAA">
      <w:pPr>
        <w:sectPr w:rsidR="00B63AAA">
          <w:pgSz w:w="11905" w:h="16837"/>
          <w:pgMar w:top="4000" w:right="1440" w:bottom="1440" w:left="1440" w:header="720" w:footer="720" w:gutter="0"/>
          <w:cols w:space="720"/>
        </w:sectPr>
      </w:pPr>
    </w:p>
    <w:p w14:paraId="0E53CDC8" w14:textId="77777777" w:rsidR="00B63AAA" w:rsidRDefault="00B63AAA">
      <w:pPr>
        <w:sectPr w:rsidR="00B63AAA">
          <w:footerReference w:type="default" r:id="rId11"/>
          <w:type w:val="continuous"/>
          <w:pgSz w:w="11905" w:h="16837"/>
          <w:pgMar w:top="1440" w:right="1440" w:bottom="1440" w:left="1440" w:header="720" w:footer="720" w:gutter="0"/>
          <w:pgNumType w:start="1"/>
          <w:cols w:space="720"/>
        </w:sectPr>
      </w:pPr>
    </w:p>
    <w:p w14:paraId="0E53CDC9" w14:textId="77777777" w:rsidR="00B63AAA" w:rsidRDefault="00911C9C">
      <w:pPr>
        <w:spacing w:after="500"/>
      </w:pPr>
      <w:r>
        <w:rPr>
          <w:b/>
          <w:bCs/>
          <w:sz w:val="36"/>
          <w:szCs w:val="36"/>
        </w:rPr>
        <w:lastRenderedPageBreak/>
        <w:t>Kazalo vsebine</w:t>
      </w:r>
    </w:p>
    <w:p w14:paraId="0E53CDCA" w14:textId="77777777" w:rsidR="00B63AAA" w:rsidRDefault="00911C9C">
      <w:pPr>
        <w:tabs>
          <w:tab w:val="right" w:leader="dot" w:pos="9062"/>
        </w:tabs>
      </w:pPr>
      <w:r>
        <w:fldChar w:fldCharType="begin"/>
      </w:r>
      <w:r>
        <w:instrText>TOC \o 1-1 \h \z \u</w:instrText>
      </w:r>
      <w:r>
        <w:fldChar w:fldCharType="separate"/>
      </w:r>
      <w:hyperlink w:anchor="_Toc1" w:history="1">
        <w:r>
          <w:t>1. Splošni podatki ŠP</w:t>
        </w:r>
        <w:r>
          <w:tab/>
        </w:r>
        <w:r>
          <w:fldChar w:fldCharType="begin"/>
        </w:r>
        <w:r>
          <w:instrText>PAGEREF _Toc1 \h</w:instrText>
        </w:r>
        <w:r>
          <w:fldChar w:fldCharType="end"/>
        </w:r>
      </w:hyperlink>
    </w:p>
    <w:p w14:paraId="0E53CDCB" w14:textId="77777777" w:rsidR="00B63AAA" w:rsidRDefault="00911C9C">
      <w:pPr>
        <w:tabs>
          <w:tab w:val="right" w:leader="dot" w:pos="9062"/>
        </w:tabs>
      </w:pPr>
      <w:hyperlink w:anchor="_Toc12" w:history="1">
        <w:r>
          <w:t>2. Temeljni cilji ŠP in pričakovane kompetence diplomantov</w:t>
        </w:r>
        <w:r>
          <w:tab/>
        </w:r>
        <w:r>
          <w:fldChar w:fldCharType="begin"/>
        </w:r>
        <w:r>
          <w:instrText>PAGEREF _Toc12 \h</w:instrText>
        </w:r>
        <w:r>
          <w:fldChar w:fldCharType="end"/>
        </w:r>
      </w:hyperlink>
    </w:p>
    <w:p w14:paraId="0E53CDCC" w14:textId="77777777" w:rsidR="00B63AAA" w:rsidRDefault="00911C9C">
      <w:pPr>
        <w:tabs>
          <w:tab w:val="right" w:leader="dot" w:pos="9062"/>
        </w:tabs>
      </w:pPr>
      <w:hyperlink w:anchor="_Toc17" w:history="1">
        <w:r>
          <w:t>3. Ustreznost vsebine ŠP in njegovih učnih enot</w:t>
        </w:r>
        <w:r>
          <w:tab/>
        </w:r>
        <w:r>
          <w:fldChar w:fldCharType="begin"/>
        </w:r>
        <w:r>
          <w:instrText>PAGEREF _Toc17 \h</w:instrText>
        </w:r>
        <w:r>
          <w:fldChar w:fldCharType="end"/>
        </w:r>
      </w:hyperlink>
    </w:p>
    <w:p w14:paraId="0E53CDCD" w14:textId="77777777" w:rsidR="00B63AAA" w:rsidRDefault="00911C9C">
      <w:pPr>
        <w:tabs>
          <w:tab w:val="right" w:leader="dot" w:pos="9062"/>
        </w:tabs>
      </w:pPr>
      <w:hyperlink w:anchor="_Toc21" w:history="1">
        <w:r>
          <w:t>4. Prednosti in pomanjkljivosti ŠP glede na rezultate študentskih anket in primerljivih mehanizmov</w:t>
        </w:r>
        <w:r>
          <w:tab/>
        </w:r>
        <w:r>
          <w:fldChar w:fldCharType="begin"/>
        </w:r>
        <w:r>
          <w:instrText>PAGEREF _Toc21 \h</w:instrText>
        </w:r>
        <w:r>
          <w:fldChar w:fldCharType="end"/>
        </w:r>
      </w:hyperlink>
    </w:p>
    <w:p w14:paraId="0E53CDCE" w14:textId="77777777" w:rsidR="00B63AAA" w:rsidRDefault="00911C9C">
      <w:pPr>
        <w:tabs>
          <w:tab w:val="right" w:leader="dot" w:pos="9062"/>
        </w:tabs>
      </w:pPr>
      <w:hyperlink w:anchor="_Toc24" w:history="1">
        <w:r>
          <w:t>5.a USPEŠNOST IN UČINKOVITOST ŠTUDIJA: Spremljanje populacije študentov na ravni ŠP</w:t>
        </w:r>
        <w:r>
          <w:tab/>
        </w:r>
        <w:r>
          <w:fldChar w:fldCharType="begin"/>
        </w:r>
        <w:r>
          <w:instrText>PAGEREF _Toc24 \h</w:instrText>
        </w:r>
        <w:r>
          <w:fldChar w:fldCharType="end"/>
        </w:r>
      </w:hyperlink>
    </w:p>
    <w:p w14:paraId="0E53CDCF" w14:textId="77777777" w:rsidR="00B63AAA" w:rsidRDefault="00911C9C">
      <w:pPr>
        <w:tabs>
          <w:tab w:val="right" w:leader="dot" w:pos="9062"/>
        </w:tabs>
      </w:pPr>
      <w:hyperlink w:anchor="_Toc30" w:history="1">
        <w:r>
          <w:t>5.b USPEŠNOST IN UČINKOVITOST ŠTUDIJA: Spremljanje in zagotavljanje kakovosti pedagoškega procesa</w:t>
        </w:r>
        <w:r>
          <w:tab/>
        </w:r>
        <w:r>
          <w:fldChar w:fldCharType="begin"/>
        </w:r>
        <w:r>
          <w:instrText>PAGEREF _Toc30 \h</w:instrText>
        </w:r>
        <w:r>
          <w:fldChar w:fldCharType="end"/>
        </w:r>
      </w:hyperlink>
    </w:p>
    <w:p w14:paraId="0E53CDD0" w14:textId="77777777" w:rsidR="00B63AAA" w:rsidRDefault="00911C9C">
      <w:pPr>
        <w:tabs>
          <w:tab w:val="right" w:leader="dot" w:pos="9062"/>
        </w:tabs>
      </w:pPr>
      <w:hyperlink w:anchor="_Toc38" w:history="1">
        <w:r>
          <w:t>5.c USPEŠNOST IN UČINKOVITOST ŠTUDIJA: Podpora za internacionalizacijo študija</w:t>
        </w:r>
        <w:r>
          <w:tab/>
        </w:r>
        <w:r>
          <w:fldChar w:fldCharType="begin"/>
        </w:r>
        <w:r>
          <w:instrText>PAGEREF _Toc38 \h</w:instrText>
        </w:r>
        <w:r>
          <w:fldChar w:fldCharType="end"/>
        </w:r>
      </w:hyperlink>
    </w:p>
    <w:p w14:paraId="0E53CDD1" w14:textId="77777777" w:rsidR="00B63AAA" w:rsidRDefault="00911C9C">
      <w:pPr>
        <w:tabs>
          <w:tab w:val="right" w:leader="dot" w:pos="9062"/>
        </w:tabs>
      </w:pPr>
      <w:hyperlink w:anchor="_Toc44" w:history="1">
        <w:r>
          <w:t>5.č USPEŠNOST IN UČINKOVITOST ŠTUDIJA: Zagotavljanje podpore, spodbujanje študentov pri študiju</w:t>
        </w:r>
        <w:r>
          <w:tab/>
        </w:r>
        <w:r>
          <w:fldChar w:fldCharType="begin"/>
        </w:r>
        <w:r>
          <w:instrText>PAGEREF _Toc44 \h</w:instrText>
        </w:r>
        <w:r>
          <w:fldChar w:fldCharType="end"/>
        </w:r>
      </w:hyperlink>
    </w:p>
    <w:p w14:paraId="0E53CDD2" w14:textId="77777777" w:rsidR="00B63AAA" w:rsidRDefault="00911C9C">
      <w:pPr>
        <w:tabs>
          <w:tab w:val="right" w:leader="dot" w:pos="9062"/>
        </w:tabs>
      </w:pPr>
      <w:hyperlink w:anchor="_Toc51" w:history="1">
        <w:r>
          <w:t>5.d USPEŠNOST IN UČINKOVITOST ŠTUDIJA: Praktično usposabljanje študentov</w:t>
        </w:r>
        <w:r>
          <w:tab/>
        </w:r>
        <w:r>
          <w:fldChar w:fldCharType="begin"/>
        </w:r>
        <w:r>
          <w:instrText>PAGEREF _Toc51 \h</w:instrText>
        </w:r>
        <w:r>
          <w:fldChar w:fldCharType="end"/>
        </w:r>
      </w:hyperlink>
    </w:p>
    <w:p w14:paraId="0E53CDD3" w14:textId="77777777" w:rsidR="00B63AAA" w:rsidRDefault="00911C9C">
      <w:pPr>
        <w:tabs>
          <w:tab w:val="right" w:leader="dot" w:pos="9062"/>
        </w:tabs>
      </w:pPr>
      <w:hyperlink w:anchor="_Toc58" w:history="1">
        <w:r>
          <w:t>5.e USPEŠNOST IN UČINKOVITOST ŠTUDIJA: Spodbujanje strokovnega razvoja zaposlenih in sodelujočih</w:t>
        </w:r>
        <w:r>
          <w:tab/>
        </w:r>
        <w:r>
          <w:fldChar w:fldCharType="begin"/>
        </w:r>
        <w:r>
          <w:instrText>PAGEREF _Toc58 \h</w:instrText>
        </w:r>
        <w:r>
          <w:fldChar w:fldCharType="end"/>
        </w:r>
      </w:hyperlink>
    </w:p>
    <w:p w14:paraId="0E53CDD4" w14:textId="77777777" w:rsidR="00B63AAA" w:rsidRDefault="00911C9C">
      <w:pPr>
        <w:tabs>
          <w:tab w:val="right" w:leader="dot" w:pos="9062"/>
        </w:tabs>
      </w:pPr>
      <w:hyperlink w:anchor="_Toc67" w:history="1">
        <w:r>
          <w:t>6. Spremljanje in razvoj ŠP ter priprava samoevalvacijskega poročila</w:t>
        </w:r>
        <w:r>
          <w:tab/>
        </w:r>
        <w:r>
          <w:fldChar w:fldCharType="begin"/>
        </w:r>
        <w:r>
          <w:instrText>PAGEREF _Toc67 \h</w:instrText>
        </w:r>
        <w:r>
          <w:fldChar w:fldCharType="end"/>
        </w:r>
      </w:hyperlink>
    </w:p>
    <w:p w14:paraId="0E53CDD5" w14:textId="77777777" w:rsidR="00B63AAA" w:rsidRDefault="00911C9C">
      <w:pPr>
        <w:tabs>
          <w:tab w:val="right" w:leader="dot" w:pos="9062"/>
        </w:tabs>
      </w:pPr>
      <w:hyperlink w:anchor="_Toc70" w:history="1">
        <w:r>
          <w:t>Pregled realizacije ukrepov in predlogi izboljšav</w:t>
        </w:r>
        <w:r>
          <w:tab/>
        </w:r>
        <w:r>
          <w:fldChar w:fldCharType="begin"/>
        </w:r>
        <w:r>
          <w:instrText>PAGEREF _Toc70 \h</w:instrText>
        </w:r>
        <w:r>
          <w:fldChar w:fldCharType="end"/>
        </w:r>
      </w:hyperlink>
    </w:p>
    <w:p w14:paraId="0E53CDD6" w14:textId="77777777" w:rsidR="00B63AAA" w:rsidRDefault="00911C9C">
      <w:r>
        <w:fldChar w:fldCharType="end"/>
      </w:r>
    </w:p>
    <w:p w14:paraId="0E53CDD7" w14:textId="77777777" w:rsidR="00B63AAA" w:rsidRDefault="00B63AAA">
      <w:pPr>
        <w:sectPr w:rsidR="00B63AAA">
          <w:pgSz w:w="11905" w:h="16837"/>
          <w:pgMar w:top="1440" w:right="1440" w:bottom="1440" w:left="1440" w:header="720" w:footer="720" w:gutter="0"/>
          <w:cols w:space="720"/>
        </w:sectPr>
      </w:pPr>
    </w:p>
    <w:p w14:paraId="0E53CDD8" w14:textId="77777777" w:rsidR="00B63AAA" w:rsidRDefault="00911C9C">
      <w:pPr>
        <w:pStyle w:val="Naslov1"/>
      </w:pPr>
      <w:bookmarkStart w:id="0" w:name="_Toc1"/>
      <w:r>
        <w:lastRenderedPageBreak/>
        <w:t>1. Splošni podatki ŠP</w:t>
      </w:r>
      <w:bookmarkEnd w:id="0"/>
    </w:p>
    <w:p w14:paraId="0E53CDD9" w14:textId="77777777" w:rsidR="00B63AAA" w:rsidRDefault="00B63AAA">
      <w:pPr>
        <w:sectPr w:rsidR="00B63AAA">
          <w:pgSz w:w="11905" w:h="16837"/>
          <w:pgMar w:top="1440" w:right="1440" w:bottom="1440" w:left="1440" w:header="720" w:footer="720" w:gutter="0"/>
          <w:cols w:space="720"/>
        </w:sectPr>
      </w:pPr>
    </w:p>
    <w:p w14:paraId="0E53CDDA" w14:textId="77777777" w:rsidR="00B63AAA" w:rsidRDefault="00B63AAA"/>
    <w:p w14:paraId="0E53CDDB" w14:textId="77777777" w:rsidR="00B63AAA" w:rsidRDefault="00911C9C">
      <w:pPr>
        <w:pStyle w:val="Naslov2"/>
      </w:pPr>
      <w:bookmarkStart w:id="1" w:name="_Toc2"/>
      <w:r>
        <w:t>Podatki o skrbniku/ci študijskega programa</w:t>
      </w:r>
      <w:bookmarkEnd w:id="1"/>
    </w:p>
    <w:p w14:paraId="0E53CDDC" w14:textId="77777777" w:rsidR="00B63AAA" w:rsidRDefault="00911C9C">
      <w:r>
        <w:t>Zapišite ime, priimek in habilitacijski naziv skrbnika/ce ŠP.</w:t>
      </w:r>
    </w:p>
    <w:tbl>
      <w:tblPr>
        <w:tblStyle w:val="box"/>
        <w:tblW w:w="0" w:type="auto"/>
        <w:tblInd w:w="50" w:type="dxa"/>
        <w:tblLook w:val="04A0" w:firstRow="1" w:lastRow="0" w:firstColumn="1" w:lastColumn="0" w:noHBand="0" w:noVBand="1"/>
      </w:tblPr>
      <w:tblGrid>
        <w:gridCol w:w="9075"/>
      </w:tblGrid>
      <w:tr w:rsidR="00B63AAA" w14:paraId="0E53CDDE" w14:textId="77777777">
        <w:trPr>
          <w:trHeight w:val="10"/>
        </w:trPr>
        <w:tc>
          <w:tcPr>
            <w:tcW w:w="10000" w:type="dxa"/>
          </w:tcPr>
          <w:p w14:paraId="0E53CDDD" w14:textId="77777777" w:rsidR="00B63AAA" w:rsidRDefault="00911C9C">
            <w:r>
              <w:t>izr. prof. dr. Mihael Perman</w:t>
            </w:r>
          </w:p>
        </w:tc>
      </w:tr>
    </w:tbl>
    <w:p w14:paraId="0E53CDDF" w14:textId="77777777" w:rsidR="00B63AAA" w:rsidRDefault="00B63AAA">
      <w:pPr>
        <w:sectPr w:rsidR="00B63AAA">
          <w:type w:val="continuous"/>
          <w:pgSz w:w="11905" w:h="16837"/>
          <w:pgMar w:top="1440" w:right="1440" w:bottom="1440" w:left="1440" w:header="720" w:footer="720" w:gutter="0"/>
          <w:cols w:space="720"/>
        </w:sectPr>
      </w:pPr>
    </w:p>
    <w:p w14:paraId="0E53CDE0" w14:textId="77777777" w:rsidR="00B63AAA" w:rsidRDefault="00B63AAA"/>
    <w:p w14:paraId="0E53CDE1" w14:textId="77777777" w:rsidR="00B63AAA" w:rsidRDefault="00911C9C">
      <w:pPr>
        <w:pStyle w:val="Naslov2"/>
      </w:pPr>
      <w:bookmarkStart w:id="2" w:name="_Toc3"/>
      <w:r>
        <w:t>Ime študijskega programa</w:t>
      </w:r>
      <w:bookmarkEnd w:id="2"/>
    </w:p>
    <w:tbl>
      <w:tblPr>
        <w:tblStyle w:val="box"/>
        <w:tblW w:w="0" w:type="auto"/>
        <w:tblInd w:w="50" w:type="dxa"/>
        <w:tblLook w:val="04A0" w:firstRow="1" w:lastRow="0" w:firstColumn="1" w:lastColumn="0" w:noHBand="0" w:noVBand="1"/>
      </w:tblPr>
      <w:tblGrid>
        <w:gridCol w:w="9075"/>
      </w:tblGrid>
      <w:tr w:rsidR="00B63AAA" w14:paraId="0E53CDE3" w14:textId="77777777">
        <w:trPr>
          <w:trHeight w:val="10"/>
        </w:trPr>
        <w:tc>
          <w:tcPr>
            <w:tcW w:w="10000" w:type="dxa"/>
          </w:tcPr>
          <w:p w14:paraId="0E53CDE2" w14:textId="77777777" w:rsidR="00B63AAA" w:rsidRDefault="00911C9C">
            <w:r>
              <w:t>Statistika</w:t>
            </w:r>
          </w:p>
        </w:tc>
      </w:tr>
    </w:tbl>
    <w:p w14:paraId="0E53CDE4" w14:textId="77777777" w:rsidR="00B63AAA" w:rsidRDefault="00B63AAA">
      <w:pPr>
        <w:sectPr w:rsidR="00B63AAA">
          <w:type w:val="continuous"/>
          <w:pgSz w:w="11905" w:h="16837"/>
          <w:pgMar w:top="1440" w:right="1440" w:bottom="1440" w:left="1440" w:header="720" w:footer="720" w:gutter="0"/>
          <w:cols w:space="720"/>
        </w:sectPr>
      </w:pPr>
    </w:p>
    <w:p w14:paraId="0E53CDE5" w14:textId="77777777" w:rsidR="00B63AAA" w:rsidRDefault="00B63AAA"/>
    <w:p w14:paraId="0E53CDE6" w14:textId="77777777" w:rsidR="00B63AAA" w:rsidRDefault="00911C9C">
      <w:pPr>
        <w:pStyle w:val="Naslov2"/>
      </w:pPr>
      <w:bookmarkStart w:id="3" w:name="_Toc4"/>
      <w:r>
        <w:t>Stopnja študijskega programa</w:t>
      </w:r>
      <w:bookmarkEnd w:id="3"/>
    </w:p>
    <w:tbl>
      <w:tblPr>
        <w:tblStyle w:val="box"/>
        <w:tblW w:w="0" w:type="auto"/>
        <w:tblInd w:w="50" w:type="dxa"/>
        <w:tblLook w:val="04A0" w:firstRow="1" w:lastRow="0" w:firstColumn="1" w:lastColumn="0" w:noHBand="0" w:noVBand="1"/>
      </w:tblPr>
      <w:tblGrid>
        <w:gridCol w:w="9075"/>
      </w:tblGrid>
      <w:tr w:rsidR="00B63AAA" w14:paraId="0E53CDE8" w14:textId="77777777">
        <w:trPr>
          <w:trHeight w:val="10"/>
        </w:trPr>
        <w:tc>
          <w:tcPr>
            <w:tcW w:w="10000" w:type="dxa"/>
          </w:tcPr>
          <w:p w14:paraId="0E53CDE7" w14:textId="77777777" w:rsidR="00B63AAA" w:rsidRDefault="00911C9C">
            <w:r>
              <w:t>tretja stopnja</w:t>
            </w:r>
          </w:p>
        </w:tc>
      </w:tr>
    </w:tbl>
    <w:p w14:paraId="0E53CDE9" w14:textId="77777777" w:rsidR="00B63AAA" w:rsidRDefault="00B63AAA">
      <w:pPr>
        <w:sectPr w:rsidR="00B63AAA">
          <w:type w:val="continuous"/>
          <w:pgSz w:w="11905" w:h="16837"/>
          <w:pgMar w:top="1440" w:right="1440" w:bottom="1440" w:left="1440" w:header="720" w:footer="720" w:gutter="0"/>
          <w:cols w:space="720"/>
        </w:sectPr>
      </w:pPr>
    </w:p>
    <w:p w14:paraId="0E53CDEA" w14:textId="77777777" w:rsidR="00B63AAA" w:rsidRDefault="00B63AAA"/>
    <w:p w14:paraId="0E53CDEB" w14:textId="77777777" w:rsidR="00B63AAA" w:rsidRDefault="00911C9C">
      <w:pPr>
        <w:pStyle w:val="Naslov2"/>
      </w:pPr>
      <w:bookmarkStart w:id="4" w:name="_Toc5"/>
      <w:r>
        <w:t>Vrsta študijskega programa</w:t>
      </w:r>
      <w:bookmarkEnd w:id="4"/>
    </w:p>
    <w:tbl>
      <w:tblPr>
        <w:tblStyle w:val="box"/>
        <w:tblW w:w="0" w:type="auto"/>
        <w:tblInd w:w="50" w:type="dxa"/>
        <w:tblLook w:val="04A0" w:firstRow="1" w:lastRow="0" w:firstColumn="1" w:lastColumn="0" w:noHBand="0" w:noVBand="1"/>
      </w:tblPr>
      <w:tblGrid>
        <w:gridCol w:w="9075"/>
      </w:tblGrid>
      <w:tr w:rsidR="00B63AAA" w14:paraId="0E53CDED" w14:textId="77777777">
        <w:trPr>
          <w:trHeight w:val="10"/>
        </w:trPr>
        <w:tc>
          <w:tcPr>
            <w:tcW w:w="10000" w:type="dxa"/>
          </w:tcPr>
          <w:p w14:paraId="0E53CDEC" w14:textId="77777777" w:rsidR="00B63AAA" w:rsidRDefault="00911C9C">
            <w:r>
              <w:t>doktorski</w:t>
            </w:r>
          </w:p>
        </w:tc>
      </w:tr>
    </w:tbl>
    <w:p w14:paraId="0E53CDEE" w14:textId="77777777" w:rsidR="00B63AAA" w:rsidRDefault="00B63AAA">
      <w:pPr>
        <w:sectPr w:rsidR="00B63AAA">
          <w:type w:val="continuous"/>
          <w:pgSz w:w="11905" w:h="16837"/>
          <w:pgMar w:top="1440" w:right="1440" w:bottom="1440" w:left="1440" w:header="720" w:footer="720" w:gutter="0"/>
          <w:cols w:space="720"/>
        </w:sectPr>
      </w:pPr>
    </w:p>
    <w:p w14:paraId="0E53CDEF" w14:textId="77777777" w:rsidR="00B63AAA" w:rsidRDefault="00B63AAA"/>
    <w:p w14:paraId="0E53CDF0" w14:textId="77777777" w:rsidR="00B63AAA" w:rsidRDefault="00911C9C">
      <w:pPr>
        <w:pStyle w:val="Naslov2"/>
      </w:pPr>
      <w:bookmarkStart w:id="5" w:name="_Toc6"/>
      <w:r>
        <w:t>Način izvajanja študija</w:t>
      </w:r>
      <w:bookmarkEnd w:id="5"/>
    </w:p>
    <w:tbl>
      <w:tblPr>
        <w:tblStyle w:val="box"/>
        <w:tblW w:w="0" w:type="auto"/>
        <w:tblInd w:w="50" w:type="dxa"/>
        <w:tblLook w:val="04A0" w:firstRow="1" w:lastRow="0" w:firstColumn="1" w:lastColumn="0" w:noHBand="0" w:noVBand="1"/>
      </w:tblPr>
      <w:tblGrid>
        <w:gridCol w:w="9075"/>
      </w:tblGrid>
      <w:tr w:rsidR="00B63AAA" w14:paraId="0E53CDF2" w14:textId="77777777">
        <w:trPr>
          <w:trHeight w:val="10"/>
        </w:trPr>
        <w:tc>
          <w:tcPr>
            <w:tcW w:w="10000" w:type="dxa"/>
          </w:tcPr>
          <w:p w14:paraId="0E53CDF1" w14:textId="77777777" w:rsidR="00B63AAA" w:rsidRDefault="00911C9C">
            <w:r>
              <w:t>izredni</w:t>
            </w:r>
          </w:p>
        </w:tc>
      </w:tr>
    </w:tbl>
    <w:p w14:paraId="0E53CDF3" w14:textId="77777777" w:rsidR="00B63AAA" w:rsidRDefault="00B63AAA">
      <w:pPr>
        <w:sectPr w:rsidR="00B63AAA">
          <w:type w:val="continuous"/>
          <w:pgSz w:w="11905" w:h="16837"/>
          <w:pgMar w:top="1440" w:right="1440" w:bottom="1440" w:left="1440" w:header="720" w:footer="720" w:gutter="0"/>
          <w:cols w:space="720"/>
        </w:sectPr>
      </w:pPr>
    </w:p>
    <w:p w14:paraId="0E53CDF4" w14:textId="77777777" w:rsidR="00B63AAA" w:rsidRDefault="00B63AAA"/>
    <w:p w14:paraId="0E53CDF5" w14:textId="77777777" w:rsidR="00B63AAA" w:rsidRDefault="00911C9C">
      <w:pPr>
        <w:pStyle w:val="Naslov2"/>
      </w:pPr>
      <w:bookmarkStart w:id="6" w:name="_Toc7"/>
      <w:r>
        <w:t>Interdisciplinarni program</w:t>
      </w:r>
      <w:bookmarkEnd w:id="6"/>
    </w:p>
    <w:tbl>
      <w:tblPr>
        <w:tblStyle w:val="box"/>
        <w:tblW w:w="0" w:type="auto"/>
        <w:tblInd w:w="50" w:type="dxa"/>
        <w:tblLook w:val="04A0" w:firstRow="1" w:lastRow="0" w:firstColumn="1" w:lastColumn="0" w:noHBand="0" w:noVBand="1"/>
      </w:tblPr>
      <w:tblGrid>
        <w:gridCol w:w="9075"/>
      </w:tblGrid>
      <w:tr w:rsidR="00B63AAA" w14:paraId="0E53CDF7" w14:textId="77777777">
        <w:trPr>
          <w:trHeight w:val="10"/>
        </w:trPr>
        <w:tc>
          <w:tcPr>
            <w:tcW w:w="10000" w:type="dxa"/>
          </w:tcPr>
          <w:p w14:paraId="0E53CDF6" w14:textId="77777777" w:rsidR="00B63AAA" w:rsidRDefault="00911C9C">
            <w:r>
              <w:t>Da</w:t>
            </w:r>
          </w:p>
        </w:tc>
      </w:tr>
    </w:tbl>
    <w:p w14:paraId="0E53CDF8" w14:textId="77777777" w:rsidR="00B63AAA" w:rsidRDefault="00B63AAA">
      <w:pPr>
        <w:sectPr w:rsidR="00B63AAA">
          <w:type w:val="continuous"/>
          <w:pgSz w:w="11905" w:h="16837"/>
          <w:pgMar w:top="1440" w:right="1440" w:bottom="1440" w:left="1440" w:header="720" w:footer="720" w:gutter="0"/>
          <w:cols w:space="720"/>
        </w:sectPr>
      </w:pPr>
    </w:p>
    <w:p w14:paraId="0E53CDF9" w14:textId="77777777" w:rsidR="00B63AAA" w:rsidRDefault="00B63AAA"/>
    <w:p w14:paraId="0E53CDFA" w14:textId="77777777" w:rsidR="00B63AAA" w:rsidRDefault="00911C9C">
      <w:pPr>
        <w:pStyle w:val="Naslov2"/>
      </w:pPr>
      <w:bookmarkStart w:id="7" w:name="_Toc8"/>
      <w:r>
        <w:t>Klasius-P-16</w:t>
      </w:r>
      <w:bookmarkEnd w:id="7"/>
    </w:p>
    <w:tbl>
      <w:tblPr>
        <w:tblStyle w:val="box"/>
        <w:tblW w:w="0" w:type="auto"/>
        <w:tblInd w:w="50" w:type="dxa"/>
        <w:tblLook w:val="04A0" w:firstRow="1" w:lastRow="0" w:firstColumn="1" w:lastColumn="0" w:noHBand="0" w:noVBand="1"/>
      </w:tblPr>
      <w:tblGrid>
        <w:gridCol w:w="9075"/>
      </w:tblGrid>
      <w:tr w:rsidR="00B63AAA" w14:paraId="0E53CDFC" w14:textId="77777777">
        <w:trPr>
          <w:trHeight w:val="10"/>
        </w:trPr>
        <w:tc>
          <w:tcPr>
            <w:tcW w:w="10000" w:type="dxa"/>
          </w:tcPr>
          <w:p w14:paraId="0E53CDFB" w14:textId="77777777" w:rsidR="00B63AAA" w:rsidRDefault="00911C9C">
            <w:r>
              <w:t>Statistika (0542)</w:t>
            </w:r>
          </w:p>
        </w:tc>
      </w:tr>
    </w:tbl>
    <w:p w14:paraId="0E53CDFD" w14:textId="77777777" w:rsidR="00B63AAA" w:rsidRDefault="00B63AAA">
      <w:pPr>
        <w:sectPr w:rsidR="00B63AAA">
          <w:type w:val="continuous"/>
          <w:pgSz w:w="11905" w:h="16837"/>
          <w:pgMar w:top="1440" w:right="1440" w:bottom="1440" w:left="1440" w:header="720" w:footer="720" w:gutter="0"/>
          <w:cols w:space="720"/>
        </w:sectPr>
      </w:pPr>
    </w:p>
    <w:p w14:paraId="0E53CDFE" w14:textId="77777777" w:rsidR="00B63AAA" w:rsidRDefault="00B63AAA"/>
    <w:p w14:paraId="0E53CDFF" w14:textId="77777777" w:rsidR="00B63AAA" w:rsidRDefault="00911C9C">
      <w:pPr>
        <w:pStyle w:val="Naslov2"/>
      </w:pPr>
      <w:bookmarkStart w:id="8" w:name="_Toc9"/>
      <w:r>
        <w:t>Klasius-SRV</w:t>
      </w:r>
      <w:bookmarkEnd w:id="8"/>
    </w:p>
    <w:tbl>
      <w:tblPr>
        <w:tblStyle w:val="box"/>
        <w:tblW w:w="0" w:type="auto"/>
        <w:tblInd w:w="50" w:type="dxa"/>
        <w:tblLook w:val="04A0" w:firstRow="1" w:lastRow="0" w:firstColumn="1" w:lastColumn="0" w:noHBand="0" w:noVBand="1"/>
      </w:tblPr>
      <w:tblGrid>
        <w:gridCol w:w="9075"/>
      </w:tblGrid>
      <w:tr w:rsidR="00B63AAA" w14:paraId="0E53CE01" w14:textId="77777777">
        <w:trPr>
          <w:trHeight w:val="10"/>
        </w:trPr>
        <w:tc>
          <w:tcPr>
            <w:tcW w:w="10000" w:type="dxa"/>
          </w:tcPr>
          <w:p w14:paraId="0E53CE00" w14:textId="77777777" w:rsidR="00B63AAA" w:rsidRDefault="00911C9C">
            <w:r>
              <w:t>18202 - Doktorsko izobraževanje(tretja bolonjska stopnja)/doktorat znanosti (tretja bolonjska stopnja)</w:t>
            </w:r>
          </w:p>
        </w:tc>
      </w:tr>
    </w:tbl>
    <w:p w14:paraId="0E53CE02" w14:textId="77777777" w:rsidR="00B63AAA" w:rsidRDefault="00B63AAA">
      <w:pPr>
        <w:sectPr w:rsidR="00B63AAA">
          <w:type w:val="continuous"/>
          <w:pgSz w:w="11905" w:h="16837"/>
          <w:pgMar w:top="1440" w:right="1440" w:bottom="1440" w:left="1440" w:header="720" w:footer="720" w:gutter="0"/>
          <w:cols w:space="720"/>
        </w:sectPr>
      </w:pPr>
    </w:p>
    <w:p w14:paraId="0E53CE03" w14:textId="77777777" w:rsidR="00B63AAA" w:rsidRDefault="00B63AAA"/>
    <w:p w14:paraId="0E53CE04" w14:textId="77777777" w:rsidR="00B63AAA" w:rsidRDefault="00911C9C">
      <w:pPr>
        <w:pStyle w:val="Naslov2"/>
      </w:pPr>
      <w:bookmarkStart w:id="9" w:name="_Toc10"/>
      <w:r>
        <w:t>Ime članice/članic, ki sodelujejo pri izvedbi študijskega programa</w:t>
      </w:r>
      <w:bookmarkEnd w:id="9"/>
    </w:p>
    <w:tbl>
      <w:tblPr>
        <w:tblStyle w:val="box"/>
        <w:tblW w:w="0" w:type="auto"/>
        <w:tblInd w:w="50" w:type="dxa"/>
        <w:tblLook w:val="04A0" w:firstRow="1" w:lastRow="0" w:firstColumn="1" w:lastColumn="0" w:noHBand="0" w:noVBand="1"/>
      </w:tblPr>
      <w:tblGrid>
        <w:gridCol w:w="9075"/>
      </w:tblGrid>
      <w:tr w:rsidR="00B63AAA" w14:paraId="0E53CE06" w14:textId="77777777">
        <w:trPr>
          <w:trHeight w:val="10"/>
        </w:trPr>
        <w:tc>
          <w:tcPr>
            <w:tcW w:w="10000" w:type="dxa"/>
          </w:tcPr>
          <w:p w14:paraId="0E53CE05" w14:textId="77777777" w:rsidR="00B63AAA" w:rsidRDefault="00911C9C">
            <w:r>
              <w:t>Biotehniška fakulteta, Ekonomska fakulteta, Fakulteta za družbene vede, Fakulteta za elektrotehniko, Fakulteta za matematiko in fiziko, Filozofska fakulteta, Medicinska fakulteta</w:t>
            </w:r>
          </w:p>
        </w:tc>
      </w:tr>
    </w:tbl>
    <w:p w14:paraId="0E53CE07" w14:textId="77777777" w:rsidR="00B63AAA" w:rsidRDefault="00B63AAA">
      <w:pPr>
        <w:sectPr w:rsidR="00B63AAA">
          <w:type w:val="continuous"/>
          <w:pgSz w:w="11905" w:h="16837"/>
          <w:pgMar w:top="1440" w:right="1440" w:bottom="1440" w:left="1440" w:header="720" w:footer="720" w:gutter="0"/>
          <w:cols w:space="720"/>
        </w:sectPr>
      </w:pPr>
    </w:p>
    <w:p w14:paraId="0E53CE08" w14:textId="77777777" w:rsidR="00B63AAA" w:rsidRDefault="00B63AAA"/>
    <w:p w14:paraId="0E53CE09" w14:textId="77777777" w:rsidR="00B63AAA" w:rsidRDefault="00911C9C">
      <w:pPr>
        <w:pStyle w:val="Naslov2"/>
      </w:pPr>
      <w:bookmarkStart w:id="10" w:name="_Toc11"/>
      <w:r>
        <w:lastRenderedPageBreak/>
        <w:t>Študijsko leto</w:t>
      </w:r>
      <w:bookmarkEnd w:id="10"/>
    </w:p>
    <w:tbl>
      <w:tblPr>
        <w:tblStyle w:val="box"/>
        <w:tblW w:w="0" w:type="auto"/>
        <w:tblInd w:w="50" w:type="dxa"/>
        <w:tblLook w:val="04A0" w:firstRow="1" w:lastRow="0" w:firstColumn="1" w:lastColumn="0" w:noHBand="0" w:noVBand="1"/>
      </w:tblPr>
      <w:tblGrid>
        <w:gridCol w:w="9075"/>
      </w:tblGrid>
      <w:tr w:rsidR="00B63AAA" w14:paraId="0E53CE0B" w14:textId="77777777">
        <w:trPr>
          <w:trHeight w:val="10"/>
        </w:trPr>
        <w:tc>
          <w:tcPr>
            <w:tcW w:w="10000" w:type="dxa"/>
          </w:tcPr>
          <w:p w14:paraId="0E53CE0A" w14:textId="77777777" w:rsidR="00B63AAA" w:rsidRDefault="00911C9C">
            <w:r>
              <w:t>2024/2025</w:t>
            </w:r>
          </w:p>
        </w:tc>
      </w:tr>
    </w:tbl>
    <w:p w14:paraId="0E53CE0C" w14:textId="77777777" w:rsidR="00B63AAA" w:rsidRDefault="00B63AAA">
      <w:pPr>
        <w:sectPr w:rsidR="00B63AAA">
          <w:type w:val="continuous"/>
          <w:pgSz w:w="11905" w:h="16837"/>
          <w:pgMar w:top="1440" w:right="1440" w:bottom="1440" w:left="1440" w:header="720" w:footer="720" w:gutter="0"/>
          <w:cols w:space="720"/>
        </w:sectPr>
      </w:pPr>
    </w:p>
    <w:p w14:paraId="0E53CE0D" w14:textId="77777777" w:rsidR="00B63AAA" w:rsidRDefault="00911C9C">
      <w:pPr>
        <w:pStyle w:val="Naslov1"/>
      </w:pPr>
      <w:bookmarkStart w:id="11" w:name="_Toc12"/>
      <w:r>
        <w:lastRenderedPageBreak/>
        <w:t>2. Temeljni cilji ŠP in pričakovane kompetence diplomantov</w:t>
      </w:r>
      <w:bookmarkEnd w:id="11"/>
    </w:p>
    <w:p w14:paraId="0E53CE0E" w14:textId="77777777" w:rsidR="00B63AAA" w:rsidRDefault="00B63AAA">
      <w:pPr>
        <w:sectPr w:rsidR="00B63AAA">
          <w:pgSz w:w="11905" w:h="16837"/>
          <w:pgMar w:top="1440" w:right="1440" w:bottom="1440" w:left="1440" w:header="720" w:footer="720" w:gutter="0"/>
          <w:cols w:space="720"/>
        </w:sectPr>
      </w:pPr>
    </w:p>
    <w:p w14:paraId="0E53CE0F" w14:textId="77777777" w:rsidR="00B63AAA" w:rsidRDefault="00B63AAA"/>
    <w:p w14:paraId="0E53CE10" w14:textId="77777777" w:rsidR="00B63AAA" w:rsidRDefault="00911C9C">
      <w:r>
        <w:rPr>
          <w:b/>
          <w:bCs/>
          <w:sz w:val="24"/>
          <w:szCs w:val="24"/>
        </w:rPr>
        <w:t>Temeljni cilji</w:t>
      </w:r>
    </w:p>
    <w:p w14:paraId="0E53CE11" w14:textId="77777777" w:rsidR="00B63AAA" w:rsidRDefault="00911C9C">
      <w:r>
        <w:t>Temeljni cilj doktorskega študijskega programa Statistika je izobraževanje visoko usposobljenih strokovnjakov, ki obvladajo tako temeljna znanja iz statistične teorije kot tudi statistična znanja, ki so specifična za posamezne znanstvene discipline. Program je namenjen poglobitvi temeljnih znanj matematične statistike, razširitvi znanj o najnovejših statističnih pristopih na posameznih področjih ter pridobitvi sposobnosti reševanja kompleksnih metodoloških problemov z uporabo zahtevnih informacijskih (progr</w:t>
      </w:r>
      <w:r>
        <w:t>amskih) orodij.</w:t>
      </w:r>
    </w:p>
    <w:p w14:paraId="0E53CE12" w14:textId="77777777" w:rsidR="00B63AAA" w:rsidRDefault="00911C9C">
      <w:r>
        <w:t>Cilj programa je usposobiti doktoranda za znanstveno razmišljanje in reševanje novih problemov na različnih področjih znanosti.</w:t>
      </w:r>
    </w:p>
    <w:p w14:paraId="0E53CE13" w14:textId="77777777" w:rsidR="00B63AAA" w:rsidRDefault="00B63AAA">
      <w:pPr>
        <w:sectPr w:rsidR="00B63AAA">
          <w:type w:val="continuous"/>
          <w:pgSz w:w="11905" w:h="16837"/>
          <w:pgMar w:top="1440" w:right="1440" w:bottom="1440" w:left="1440" w:header="720" w:footer="720" w:gutter="0"/>
          <w:cols w:space="720"/>
        </w:sectPr>
      </w:pPr>
    </w:p>
    <w:p w14:paraId="0E53CE14" w14:textId="77777777" w:rsidR="00B63AAA" w:rsidRDefault="00B63AAA"/>
    <w:p w14:paraId="0E53CE15" w14:textId="77777777" w:rsidR="00B63AAA" w:rsidRDefault="00911C9C">
      <w:r>
        <w:rPr>
          <w:b/>
          <w:bCs/>
          <w:sz w:val="24"/>
          <w:szCs w:val="24"/>
        </w:rPr>
        <w:t>Splošne kompetence diplomanta</w:t>
      </w:r>
    </w:p>
    <w:p w14:paraId="0E53CE16" w14:textId="77777777" w:rsidR="00B63AAA" w:rsidRDefault="00911C9C">
      <w:r>
        <w:t>Doktorand bo po končanem študiju usposobljen za ustvarjalno in samostojno znanstveno raziskovalno delo in reševanje znanstvenih problemov bodočih delodajalcev. Na znanstvenem področju svojega dela bo sposoben opredeliti raziskovalni problem in poiskati optimalne rešitve. Povezoval bo obstoječe metode in razvijal nove ter jih kritično evalviral s pomočjo jasno definiranih kriterijev, temelječih na statistični teoriji. Sposoben bo kritične presoje raziskovalnih rezultatov in prenosa novih znanj v prakso. Prek</w:t>
      </w:r>
      <w:r>
        <w:t>o izrazite mednarodne naravnanosti programa si bo pridobil sposobnosti komunikacije v mednarodnem okolju.</w:t>
      </w:r>
    </w:p>
    <w:p w14:paraId="0E53CE17" w14:textId="77777777" w:rsidR="00B63AAA" w:rsidRDefault="00B63AAA">
      <w:pPr>
        <w:sectPr w:rsidR="00B63AAA">
          <w:type w:val="continuous"/>
          <w:pgSz w:w="11905" w:h="16837"/>
          <w:pgMar w:top="1440" w:right="1440" w:bottom="1440" w:left="1440" w:header="720" w:footer="720" w:gutter="0"/>
          <w:cols w:space="720"/>
        </w:sectPr>
      </w:pPr>
    </w:p>
    <w:p w14:paraId="0E53CE18" w14:textId="77777777" w:rsidR="00B63AAA" w:rsidRDefault="00B63AAA"/>
    <w:p w14:paraId="0E53CE19" w14:textId="77777777" w:rsidR="00B63AAA" w:rsidRDefault="00911C9C">
      <w:r>
        <w:rPr>
          <w:b/>
          <w:bCs/>
          <w:sz w:val="24"/>
          <w:szCs w:val="24"/>
        </w:rPr>
        <w:t>Predmetno specifične kompetence</w:t>
      </w:r>
    </w:p>
    <w:p w14:paraId="0E53CE1A" w14:textId="77777777" w:rsidR="00B63AAA" w:rsidRDefault="00911C9C">
      <w:r>
        <w:t>Doktorand bo poglobil temeljna znanja matematične statistike in razširil svoje znanje o najnovejših statističnih pristopih na posameznih področjih. Sposoben bo črpati ideje in razširitve sorodnih problemov ter prenašati nova znanja na svoje področje. Pridobil bo sposobnost reševanja zahtevnih in kompleksnih metodoloških problemov ter znanje za kritično presojo različnih pristopov. Pri svojem delu si bo pomagal z zahtevnimi informacijski (programskimi) orodji.</w:t>
      </w:r>
    </w:p>
    <w:p w14:paraId="0E53CE1B" w14:textId="77777777" w:rsidR="00B63AAA" w:rsidRDefault="00911C9C">
      <w:r>
        <w:t>Cilji in kompetence so navedeni tudi v okviru učnih načrtov za vsak predmet posebej.</w:t>
      </w:r>
    </w:p>
    <w:p w14:paraId="0E53CE1C" w14:textId="77777777" w:rsidR="00B63AAA" w:rsidRDefault="00B63AAA">
      <w:pPr>
        <w:sectPr w:rsidR="00B63AAA">
          <w:type w:val="continuous"/>
          <w:pgSz w:w="11905" w:h="16837"/>
          <w:pgMar w:top="1440" w:right="1440" w:bottom="1440" w:left="1440" w:header="720" w:footer="720" w:gutter="0"/>
          <w:cols w:space="720"/>
        </w:sectPr>
      </w:pPr>
    </w:p>
    <w:p w14:paraId="0E53CE1D" w14:textId="77777777" w:rsidR="00B63AAA" w:rsidRDefault="00B63AAA"/>
    <w:p w14:paraId="0E53CE1E" w14:textId="77777777" w:rsidR="00B63AAA" w:rsidRDefault="00911C9C">
      <w:pPr>
        <w:pStyle w:val="Naslov2"/>
      </w:pPr>
      <w:bookmarkStart w:id="12" w:name="_Toc13"/>
      <w:r>
        <w:t>Temeljni cilji študijskega programa in pričakovane kompetence diplomantov - Spremembe</w:t>
      </w:r>
      <w:bookmarkEnd w:id="12"/>
    </w:p>
    <w:p w14:paraId="0E53CE1F" w14:textId="77777777" w:rsidR="00B63AAA" w:rsidRDefault="00911C9C">
      <w:r>
        <w:t>Navedite vzroke za spremembe v opredelitvi temeljnih ciljev ŠP in pričakovanih kompetenc diplomantov. Vpišite le v primeru, da je do sprememb prišlo v zadnjem letu (npr. podaljšanje akreditacije ŠP, prenova ŠP).</w:t>
      </w:r>
    </w:p>
    <w:tbl>
      <w:tblPr>
        <w:tblStyle w:val="box"/>
        <w:tblW w:w="0" w:type="auto"/>
        <w:tblInd w:w="50" w:type="dxa"/>
        <w:tblLook w:val="04A0" w:firstRow="1" w:lastRow="0" w:firstColumn="1" w:lastColumn="0" w:noHBand="0" w:noVBand="1"/>
      </w:tblPr>
      <w:tblGrid>
        <w:gridCol w:w="9075"/>
      </w:tblGrid>
      <w:tr w:rsidR="00B63AAA" w14:paraId="0E53CE21" w14:textId="77777777">
        <w:trPr>
          <w:trHeight w:val="800"/>
        </w:trPr>
        <w:tc>
          <w:tcPr>
            <w:tcW w:w="10000" w:type="dxa"/>
          </w:tcPr>
          <w:p w14:paraId="0E53CE20" w14:textId="77777777" w:rsidR="00B63AAA" w:rsidRDefault="00911C9C">
            <w:r>
              <w:t xml:space="preserve">Zaradi vedno večje vloge umetne inteligence in strojnega učenja pri analizi in modeliranju podatkov študente usmerjamo na ustrezne tečaje.  V zadnjem samoevalvacijskem poročilu smo napovedali, da bi predmete iz umetne inteligence, strojnega učenja in podatkovne </w:t>
            </w:r>
            <w:r>
              <w:lastRenderedPageBreak/>
              <w:t>znanosti bolj sistematsko vključili v program.  Ker študenti v okviru izbirnosti lahko izbirajo predmete na FRI, kjer imajo učitelji največ teh znanj, sama FRI pa ni fakulteta izvajalka, je trenutno najbolj smiselno študente, ki želijo ta znanja pridobiti, usmeriti na FRI v okviru izbirnosti znotraj študija.  Mnenje večine izvajalcev pa je, da so osnovne kompetence povezane z umetno inteligenco, postale nepogrešljiv del izobrazbe in kompetenc doktorandov.</w:t>
            </w:r>
          </w:p>
        </w:tc>
      </w:tr>
    </w:tbl>
    <w:p w14:paraId="0E53CE22" w14:textId="77777777" w:rsidR="00B63AAA" w:rsidRDefault="00B63AAA">
      <w:pPr>
        <w:sectPr w:rsidR="00B63AAA">
          <w:type w:val="continuous"/>
          <w:pgSz w:w="11905" w:h="16837"/>
          <w:pgMar w:top="1440" w:right="1440" w:bottom="1440" w:left="1440" w:header="720" w:footer="720" w:gutter="0"/>
          <w:cols w:space="720"/>
        </w:sectPr>
      </w:pPr>
    </w:p>
    <w:p w14:paraId="0E53CE23" w14:textId="77777777" w:rsidR="00B63AAA" w:rsidRDefault="00B63AAA"/>
    <w:p w14:paraId="0E53CE24" w14:textId="77777777" w:rsidR="00B63AAA" w:rsidRDefault="00911C9C">
      <w:pPr>
        <w:pStyle w:val="Naslov2"/>
      </w:pPr>
      <w:bookmarkStart w:id="13" w:name="_Toc14"/>
      <w:r>
        <w:t>Temeljni cilji študijskega programa in pričakovane kompetence diplomantov - Spremljanje doseganja ciljev in kompetenc</w:t>
      </w:r>
      <w:bookmarkEnd w:id="13"/>
    </w:p>
    <w:p w14:paraId="0E53CE25" w14:textId="77777777" w:rsidR="00B63AAA" w:rsidRDefault="00911C9C">
      <w:r>
        <w:t>Opišite, kako spremljate doseganje ciljev in kompetenc na ravni ŠP.</w:t>
      </w:r>
    </w:p>
    <w:tbl>
      <w:tblPr>
        <w:tblStyle w:val="box"/>
        <w:tblW w:w="0" w:type="auto"/>
        <w:tblInd w:w="50" w:type="dxa"/>
        <w:tblLook w:val="04A0" w:firstRow="1" w:lastRow="0" w:firstColumn="1" w:lastColumn="0" w:noHBand="0" w:noVBand="1"/>
      </w:tblPr>
      <w:tblGrid>
        <w:gridCol w:w="9075"/>
      </w:tblGrid>
      <w:tr w:rsidR="00B63AAA" w14:paraId="0E53CE27" w14:textId="77777777">
        <w:trPr>
          <w:trHeight w:val="800"/>
        </w:trPr>
        <w:tc>
          <w:tcPr>
            <w:tcW w:w="10000" w:type="dxa"/>
          </w:tcPr>
          <w:p w14:paraId="0E53CE26" w14:textId="77777777" w:rsidR="00B63AAA" w:rsidRDefault="00911C9C">
            <w:r>
              <w:t>Izobraževanje visoko usposobljenih strokovnjakov, ki obvladajo tako temeljna znanja iz statistične teorije kot tudi statistična znanja, ki so specifična za posamezne znanstvene discipline, je glavni namen študijskega programa. Ta je namenjen poglobitvi temeljnih znanj matematičnih osnov statistike, zmožnosti samostojnega razširjanja znanj o najnovejših statističnih pristopih na posameznih področjih ter zmožnosti reševanja kompleksnih statističnih nalog s pomočjo ustreznih metodoloških pristopov in ekspertno</w:t>
            </w:r>
            <w:r>
              <w:t xml:space="preserve"> uporabo računalniško podprtih statističnih orodij.</w:t>
            </w:r>
            <w:r>
              <w:br/>
            </w:r>
            <w:r>
              <w:br/>
              <w:t>Znanstveno-analitično in kritično razmišljanje, kako modelirati ali obdelati podatke z namenom trdnih zaključkov je ključni cilj programa. Dalje je namen študija usposobljenost za reševanje novih podatkovno-analitičnih izzivov na različnih področjih znanosti in usposobljenost za ustvarjalno in samostojno znanstveno raziskovalno delo in obravnavo znanstvenih vprašanj bodisi v akademskem okolju bodisi v okolju delodajalcev, ki po naših izkušnjah potrebujejo</w:t>
            </w:r>
            <w:r>
              <w:t xml:space="preserve"> vedno bolj prefinjene statistične analize. Na znanstvenem področju svojega dela so po zaključku študija študenti sposobni opredeliti raziskovalne domneve in poiskati najboljše metodološke pristope, ki jih znajo strokovno in utemeljeno predstaviti uporabnikom ali akademskim kolegom. Študijski program povezuje obstoječe metode in krepi zmožnost razvoja novih ter jih kritično presodi s pomočjo jasno definiranih meril, temelječih na statistični teoriji. Doktoranti so sposobni kritične presoje raziskovalnih rez</w:t>
            </w:r>
            <w:r>
              <w:t xml:space="preserve">ultatov in prenosa novih znanj v prakso. Preko izrazite mednarodne naravnanosti programa je zagotovljena sposobnost komunikacije v mednarodnem okolju. </w:t>
            </w:r>
            <w:r>
              <w:br/>
              <w:t>Spremljanje doseganja ciljev in kompetenc je sestavni del celotnega procesa študija, saj je končni cilj, zagovor doktorske naloge, pogojen z večkratnim preverjanjem kakovosti dispozicije, seminarjem oziroma predstavitvijo doktorske disertacije pred zagovorom ter s pogojem o objavi ustreznega članka. Večinoma so člani komisij za spremljanje doktorskih študent</w:t>
            </w:r>
            <w:r>
              <w:t>ov člani programskega sveta študija, ki s tem prispevajo h kakovosti doktorskega študija.</w:t>
            </w:r>
            <w:r>
              <w:br/>
              <w:t xml:space="preserve">Poleg tega spremljamo razvoj večine doktorandov tudi po zaključku doktorskega študija, zlasti tistih, ki se zaposlijo v akademskem okolju. Tam namreč evalvacija njihovega pedagoškega dela po vsakokratni izvedbi predmeta poteka s pomočjo anket študentov; evalvacija njihovih znanstvenih objav v okviru sistema recenzij; evalvacija njihovega celotnega (pedagoškega, raziskovalnega in svetovalnega) opusa pa vsakih nekaj let </w:t>
            </w:r>
            <w:r>
              <w:t>(treh za asistente oziroma petih za posameznike v nazivih docent ali izredni profesor) v okviru habilitacijskih postopkov. Izvajalci študijskega programa so večinoma habilitirani visokošolski učitelji s področjem naziva, ki je statistične narave.</w:t>
            </w:r>
            <w:r>
              <w:br/>
            </w:r>
            <w:r>
              <w:lastRenderedPageBreak/>
              <w:t>Nekaj manj imamo informacij o tujcih, ki so zaključili študij, vendar marsikatere srečujemo na mednarodnih konferencah, zlasti tiste z zahodnega Balkana. Dodatno merilo so zaposlitve. Po naših informacijah študenti po zaključku študija zlahko najdejo zaposlitev, sa</w:t>
            </w:r>
            <w:r>
              <w:t>j je povpraševanje po dobro kvalificiranih statistikih veliko in ponudba ne dosega povpraševanja.</w:t>
            </w:r>
            <w:r>
              <w:br/>
              <w:t xml:space="preserve">Dodatni vidik spremljanja doseganja ciljev je redno spremljanje prehodnosti. Iz podatkov o prehodnosti je razvidno, kakšen delež študentov študij uspešno zaključi. Poleg tega lahko ocenimo trajanje študija, ugotovimo razloge za daljše prekinitve študija in spodbujamo študente, ki imajo opravljene obveznosti, da se posvetijo raziskovalnemu delu in doktorski disertaciji. Vsako leto imajo člani programskega sveta </w:t>
            </w:r>
            <w:r>
              <w:t xml:space="preserve">srečanje s študenti 2. letnika v zvezi s prijavo teme doktorske disertacije, ki je dolgotrajen postopek in pogoj za vpis v 3. letnik študija. Prav tako predsednik programskega sveta na koncu 2. letnika organizira predstavitve za študente 2. letnika, kjer poteka razgovor tudi o morebitnih težavah študentov. </w:t>
            </w:r>
          </w:p>
        </w:tc>
      </w:tr>
    </w:tbl>
    <w:p w14:paraId="0E53CE28" w14:textId="77777777" w:rsidR="00B63AAA" w:rsidRDefault="00B63AAA">
      <w:pPr>
        <w:sectPr w:rsidR="00B63AAA">
          <w:type w:val="continuous"/>
          <w:pgSz w:w="11905" w:h="16837"/>
          <w:pgMar w:top="1440" w:right="1440" w:bottom="1440" w:left="1440" w:header="720" w:footer="720" w:gutter="0"/>
          <w:cols w:space="720"/>
        </w:sectPr>
      </w:pPr>
    </w:p>
    <w:p w14:paraId="0E53CE29" w14:textId="77777777" w:rsidR="00B63AAA" w:rsidRDefault="00B63AAA"/>
    <w:p w14:paraId="0E53CE2A" w14:textId="77777777" w:rsidR="00B63AAA" w:rsidRDefault="00911C9C">
      <w:pPr>
        <w:pStyle w:val="Naslov2"/>
      </w:pPr>
      <w:bookmarkStart w:id="14" w:name="_Toc15"/>
      <w:r>
        <w:t>Temeljni cilji študijskega programa in pričakovane kompetence diplomantov - Ocena doseganja ciljev in kompetenc</w:t>
      </w:r>
      <w:bookmarkEnd w:id="14"/>
    </w:p>
    <w:p w14:paraId="0E53CE2B" w14:textId="77777777" w:rsidR="00B63AAA" w:rsidRDefault="00911C9C">
      <w:r>
        <w:t xml:space="preserve">Na kratko ocenite doseganje temeljnih ciljev ŠP in kompetenc diplomantov.Oceno utemeljite npr. z mnenji diplomantov, delodajalcev, študentov*, zaposljivostjo, kakovostjo zaključnih in projektnih del, znanstvenih objav ipd.  </w:t>
      </w:r>
    </w:p>
    <w:p w14:paraId="0E53CE2C" w14:textId="77777777" w:rsidR="00B63AAA" w:rsidRDefault="00911C9C">
      <w:r>
        <w:rPr>
          <w:i/>
          <w:iCs/>
        </w:rPr>
        <w:t>*Spodnji graf prikazuje doseganje kompetenc študentov.</w:t>
      </w:r>
    </w:p>
    <w:tbl>
      <w:tblPr>
        <w:tblStyle w:val="box"/>
        <w:tblW w:w="0" w:type="auto"/>
        <w:tblInd w:w="50" w:type="dxa"/>
        <w:tblLook w:val="04A0" w:firstRow="1" w:lastRow="0" w:firstColumn="1" w:lastColumn="0" w:noHBand="0" w:noVBand="1"/>
      </w:tblPr>
      <w:tblGrid>
        <w:gridCol w:w="9075"/>
      </w:tblGrid>
      <w:tr w:rsidR="00B63AAA" w14:paraId="0E53CE2E" w14:textId="77777777">
        <w:trPr>
          <w:trHeight w:val="800"/>
        </w:trPr>
        <w:tc>
          <w:tcPr>
            <w:tcW w:w="10000" w:type="dxa"/>
          </w:tcPr>
          <w:p w14:paraId="0E53CE2D" w14:textId="77777777" w:rsidR="00B63AAA" w:rsidRDefault="00911C9C">
            <w:r>
              <w:t>Študenti, ki študij uspešno zaključijo z zagovorom doktorske disertacije, praviloma najdejo dobre zaposlitve, ki segajo od akademskih, finančnih, ekonomskih in medicinskih. Precej nosilcev statističnih predmetov na fakultetah izvajalkah programa je zaključilo prav ta študij, ker nekaj jih je zaposlenih na Banki Slovenije, Statističnem uradu RS in drugje. Doktorandi so po zaključenem študiju kompetentni na širokem področju uporabe statistike, analize in modeliranja podatkov in razvoja in adaptacije obstoječi</w:t>
            </w:r>
            <w:r>
              <w:t>h metod. Kakovost zaključnih del skrbno spremljajo komisije za spremljanje doktorskih študentov, katerih člani so pogosto člani Programskega sveta študija, dodatno preverjanje pa je zahteva za objavo članka pred zagovorom v reviji, ki jo citira SCI ali SSCI.  Ta zahteva je še nekoliko ostrejša kot zahtev Habilitacijske komisije UL, tako da je kvaliteta zaključnih del preverjena. Neposredni odziv delodajalcev dobimo skozi srečanja z delodajalci, ki jih organizira Programski svet. Ugotovitev je, da obstaja po</w:t>
            </w:r>
            <w:r>
              <w:t xml:space="preserve">vpraševanje po profilu študija, ki presega število študentov, ki študij zaključijo, tipično pa delodajalci iščejo zelo specifična znanja, ki jih splošen študij statistike ne da vedno.  </w:t>
            </w:r>
          </w:p>
        </w:tc>
      </w:tr>
    </w:tbl>
    <w:p w14:paraId="0E53CE2F" w14:textId="77777777" w:rsidR="00B63AAA" w:rsidRDefault="00B63AAA">
      <w:pPr>
        <w:sectPr w:rsidR="00B63AAA">
          <w:type w:val="continuous"/>
          <w:pgSz w:w="11905" w:h="16837"/>
          <w:pgMar w:top="1440" w:right="1440" w:bottom="1440" w:left="1440" w:header="720" w:footer="720" w:gutter="0"/>
          <w:cols w:space="720"/>
        </w:sectPr>
      </w:pPr>
    </w:p>
    <w:p w14:paraId="0E53CE30" w14:textId="77777777" w:rsidR="00B63AAA" w:rsidRDefault="00B63AAA"/>
    <w:p w14:paraId="0E53CE31" w14:textId="77777777" w:rsidR="00B63AAA" w:rsidRDefault="00911C9C">
      <w:pPr>
        <w:pStyle w:val="Naslov2"/>
      </w:pPr>
      <w:bookmarkStart w:id="15" w:name="_Toc16"/>
      <w:r>
        <w:t>Priložnosti za izboljšave</w:t>
      </w:r>
      <w:bookmarkEnd w:id="15"/>
    </w:p>
    <w:p w14:paraId="0E53CE32" w14:textId="77777777" w:rsidR="00B63AAA" w:rsidRDefault="00911C9C">
      <w:r>
        <w:t>Kje vidite priložnosti za izboljšave oz. na kakšen način menite, da bi bilo smiselno naslavljati izzive ŠP z vidika doseganja TEMELJNIH CILJEV IN KOMPETENC DIPLOMANTOV?</w:t>
      </w:r>
    </w:p>
    <w:p w14:paraId="0E53CE33" w14:textId="77777777" w:rsidR="00B63AAA" w:rsidRDefault="00911C9C">
      <w:r>
        <w:rPr>
          <w:i/>
          <w:iCs/>
        </w:rPr>
        <w:t xml:space="preserve">Zapisano bo prikazano v tabeli s predlogi izboljšav (zadnja tabela, drugi stolpec). </w:t>
      </w:r>
    </w:p>
    <w:p w14:paraId="0E53CE34"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E36" w14:textId="77777777">
        <w:trPr>
          <w:trHeight w:val="100"/>
        </w:trPr>
        <w:tc>
          <w:tcPr>
            <w:tcW w:w="10000" w:type="dxa"/>
          </w:tcPr>
          <w:p w14:paraId="0E53CE35" w14:textId="77777777" w:rsidR="00B63AAA" w:rsidRDefault="00911C9C">
            <w:r>
              <w:lastRenderedPageBreak/>
              <w:t>Za to področje ni predvidenih ukrepov.</w:t>
            </w:r>
          </w:p>
        </w:tc>
      </w:tr>
    </w:tbl>
    <w:p w14:paraId="0E53CE37" w14:textId="77777777" w:rsidR="00B63AAA" w:rsidRDefault="00B63AAA">
      <w:pPr>
        <w:sectPr w:rsidR="00B63AAA">
          <w:type w:val="continuous"/>
          <w:pgSz w:w="11905" w:h="16837"/>
          <w:pgMar w:top="1440" w:right="1440" w:bottom="1440" w:left="1440" w:header="720" w:footer="720" w:gutter="0"/>
          <w:cols w:space="720"/>
        </w:sectPr>
      </w:pPr>
    </w:p>
    <w:p w14:paraId="0E53CE38" w14:textId="77777777" w:rsidR="00B63AAA" w:rsidRDefault="00B63AAA"/>
    <w:p w14:paraId="0E53CE39" w14:textId="77777777" w:rsidR="00B63AAA" w:rsidRDefault="00B63AAA"/>
    <w:p w14:paraId="0E53CE3A" w14:textId="77777777" w:rsidR="00B63AAA" w:rsidRDefault="00911C9C">
      <w:pPr>
        <w:pStyle w:val="Naslov1"/>
      </w:pPr>
      <w:bookmarkStart w:id="16" w:name="_Toc17"/>
      <w:r>
        <w:t>3. Ustreznost vsebine ŠP in njegovih učnih enot</w:t>
      </w:r>
      <w:bookmarkEnd w:id="16"/>
    </w:p>
    <w:p w14:paraId="0E53CE3B" w14:textId="77777777" w:rsidR="00B63AAA" w:rsidRDefault="00B63AAA">
      <w:pPr>
        <w:sectPr w:rsidR="00B63AAA">
          <w:type w:val="continuous"/>
          <w:pgSz w:w="11905" w:h="16837"/>
          <w:pgMar w:top="1440" w:right="1440" w:bottom="1440" w:left="1440" w:header="720" w:footer="720" w:gutter="0"/>
          <w:cols w:space="720"/>
        </w:sectPr>
      </w:pPr>
    </w:p>
    <w:p w14:paraId="0E53CE3C" w14:textId="77777777" w:rsidR="00B63AAA" w:rsidRDefault="00B63AAA"/>
    <w:p w14:paraId="0E53CE3D" w14:textId="77777777" w:rsidR="00B63AAA" w:rsidRDefault="00911C9C">
      <w:pPr>
        <w:pStyle w:val="Naslov2"/>
      </w:pPr>
      <w:bookmarkStart w:id="17" w:name="_Toc18"/>
      <w:r>
        <w:t>Ustreznost vsebine - Razvoj stroke oz. področja</w:t>
      </w:r>
      <w:bookmarkEnd w:id="17"/>
    </w:p>
    <w:p w14:paraId="0E53CE3E" w14:textId="77777777" w:rsidR="00B63AAA" w:rsidRDefault="00911C9C">
      <w:r>
        <w:t>Kako skrbite, da vsebine ŠP in njegovih učnih enot primerno odražajo razvoj stroke oz. področja. (vključite najaktualnejše raziskave oz. umetniške dosežke s področja ŠP)Utemeljite ali podkrepite s temeljnimi usmeritvami ali konkretnimi primeri.</w:t>
      </w:r>
    </w:p>
    <w:tbl>
      <w:tblPr>
        <w:tblStyle w:val="box"/>
        <w:tblW w:w="0" w:type="auto"/>
        <w:tblInd w:w="50" w:type="dxa"/>
        <w:tblLook w:val="04A0" w:firstRow="1" w:lastRow="0" w:firstColumn="1" w:lastColumn="0" w:noHBand="0" w:noVBand="1"/>
      </w:tblPr>
      <w:tblGrid>
        <w:gridCol w:w="9075"/>
      </w:tblGrid>
      <w:tr w:rsidR="00B63AAA" w14:paraId="0E53CE40" w14:textId="77777777">
        <w:trPr>
          <w:trHeight w:val="800"/>
        </w:trPr>
        <w:tc>
          <w:tcPr>
            <w:tcW w:w="10000" w:type="dxa"/>
          </w:tcPr>
          <w:p w14:paraId="0E53CE3F" w14:textId="77777777" w:rsidR="00B63AAA" w:rsidRDefault="00911C9C">
            <w:r>
              <w:t>Večina izvajalcev predmetov študija je aktivnih raziskovalcev, ki spremljajo svoja področja in poznajo nove strokovne usmeritve. To pogosto vodi do sprememb učnih načrtov predmetov, da ti vključujejo tudi novejše pristope. V zadnjem času gre pri statistiki predvsem za prepletanje metod umetne inteligence in klasičnih statističnih pristopov. V št. letu 2023/2024 je bila sprejeta sprememba obvezne sestavine programa, in sicer razdelitev obveznega predmeta Sodobni statistični pristopi (10 KT) na predmet, ki ob</w:t>
            </w:r>
            <w:r>
              <w:t xml:space="preserve">ravnava razvoj statističnih metod in del (Sodobni statistični pristopi, 5 KT), ki je namenjen praktičnemu usposabljanju (Statistično raziskovanje, 5 KT).   Programski svet vsako leto pozove vse izvajalce programa, da po potrebi posodobijo učne načrte in jih prilagodijo ter vkljućijo nove pristope v statističnem raziskovanju,  </w:t>
            </w:r>
          </w:p>
        </w:tc>
      </w:tr>
    </w:tbl>
    <w:p w14:paraId="0E53CE41" w14:textId="77777777" w:rsidR="00B63AAA" w:rsidRDefault="00B63AAA">
      <w:pPr>
        <w:sectPr w:rsidR="00B63AAA">
          <w:type w:val="continuous"/>
          <w:pgSz w:w="11905" w:h="16837"/>
          <w:pgMar w:top="1440" w:right="1440" w:bottom="1440" w:left="1440" w:header="720" w:footer="720" w:gutter="0"/>
          <w:cols w:space="720"/>
        </w:sectPr>
      </w:pPr>
    </w:p>
    <w:p w14:paraId="0E53CE42" w14:textId="77777777" w:rsidR="00B63AAA" w:rsidRDefault="00B63AAA"/>
    <w:p w14:paraId="0E53CE43" w14:textId="77777777" w:rsidR="00B63AAA" w:rsidRDefault="00911C9C">
      <w:pPr>
        <w:pStyle w:val="Naslov2"/>
      </w:pPr>
      <w:bookmarkStart w:id="18" w:name="_Toc19"/>
      <w:r>
        <w:t>Ustreznost vsebine - Potrebe diplomantov in delovnih organizacij</w:t>
      </w:r>
      <w:bookmarkEnd w:id="18"/>
    </w:p>
    <w:p w14:paraId="0E53CE44" w14:textId="77777777" w:rsidR="00B63AAA" w:rsidRDefault="00911C9C">
      <w:r>
        <w:t>Kako skrbite, da vsebine ŠP in njegovih učnih enot primerno odražajo potrebe diplomantov in njihovih delovnih organizacij.</w:t>
      </w:r>
    </w:p>
    <w:tbl>
      <w:tblPr>
        <w:tblStyle w:val="box"/>
        <w:tblW w:w="0" w:type="auto"/>
        <w:tblInd w:w="50" w:type="dxa"/>
        <w:tblLook w:val="04A0" w:firstRow="1" w:lastRow="0" w:firstColumn="1" w:lastColumn="0" w:noHBand="0" w:noVBand="1"/>
      </w:tblPr>
      <w:tblGrid>
        <w:gridCol w:w="9075"/>
      </w:tblGrid>
      <w:tr w:rsidR="00B63AAA" w14:paraId="0E53CE46" w14:textId="77777777">
        <w:trPr>
          <w:trHeight w:val="800"/>
        </w:trPr>
        <w:tc>
          <w:tcPr>
            <w:tcW w:w="10000" w:type="dxa"/>
          </w:tcPr>
          <w:p w14:paraId="0E53CE45" w14:textId="77777777" w:rsidR="00B63AAA" w:rsidRDefault="00911C9C">
            <w:r>
              <w:t>Študenti pri vpisu izberejo enega od možnih modulov študija. Tisti, ki so že zaposleni, tipično izberejo module, ki odražajo njihove delovne obveznosti pri delodajalcih in tako potem obvezni izbirni predmeti odražajo tako njihov kot tudi interes delodajalcev. Mlajši študenti, ki še nimajo delovnih izkušenj, tipično sledijo svojim raziskovalnim interesom in izbirajo module v skladu s tem. Nabor možnih modulov je dovolj raznovrsten, da pokriva večino potreb in interesov vpisanih študentov.</w:t>
            </w:r>
            <w:r>
              <w:br/>
              <w:t>Jedrna znanja statistike ostajajo enaka, zato obširno prilagajanje vsebin ni potrebno.  Odziv študentov je, da so pri obveznih predmetih prvih dveh letnikov pridobili temeljna znanja, ki so jih uporabili pri svojih bolj specifičnih temah za doktorsko disertacijo.  Več možnosti vidimo pri izbirnosti, kjer lahko študente usmerimo na predmete, ki jih izvajajo ali članice izvajalke ali FRI v okviru izbirnosti.  V tem smislu imamo razgovore s študenti, da se te možnosti zavedajo in izberejo predmete na doktorsk</w:t>
            </w:r>
            <w:r>
              <w:t>em nivoju, ki sledijo novejšemu razvoju na specifičnem področju njihovega raziskovalnega dela ali na področju, ki zanima njihove delodajalce.  V tem duhu smo 17. 6. 2024 organizirali srečanje predstavnikov študijskega programa, doktorskih študentov in delodajalcev.  V obširnem razgovoru so delodajalci predstavili svoja pričakovanja in potrebe, kjer je izstopala potreba po praktičnih statističnih znanjih.  Predstavniki študija so poudarili pomen temeljnih znanj in izrazili pripravljenost za nadaljne razgovor</w:t>
            </w:r>
            <w:r>
              <w:t xml:space="preserve">e z delodajalci in za morebitne prilagoditve študija v smislu približevanja </w:t>
            </w:r>
            <w:r>
              <w:lastRenderedPageBreak/>
              <w:t>delodajalcem.  V okviru obveznih temeljnih predmetov pa vseeno trenutno ne vidimo potrebe po obširnejših spremembah.</w:t>
            </w:r>
          </w:p>
        </w:tc>
      </w:tr>
    </w:tbl>
    <w:p w14:paraId="0E53CE47" w14:textId="77777777" w:rsidR="00B63AAA" w:rsidRDefault="00B63AAA">
      <w:pPr>
        <w:sectPr w:rsidR="00B63AAA">
          <w:type w:val="continuous"/>
          <w:pgSz w:w="11905" w:h="16837"/>
          <w:pgMar w:top="1440" w:right="1440" w:bottom="1440" w:left="1440" w:header="720" w:footer="720" w:gutter="0"/>
          <w:cols w:space="720"/>
        </w:sectPr>
      </w:pPr>
    </w:p>
    <w:p w14:paraId="0E53CE48" w14:textId="77777777" w:rsidR="00B63AAA" w:rsidRDefault="00B63AAA"/>
    <w:p w14:paraId="0E53CE49" w14:textId="77777777" w:rsidR="00B63AAA" w:rsidRDefault="00911C9C">
      <w:pPr>
        <w:pStyle w:val="Naslov2"/>
      </w:pPr>
      <w:bookmarkStart w:id="19" w:name="_Toc20"/>
      <w:r>
        <w:t>Priložnosti za izboljšave</w:t>
      </w:r>
      <w:bookmarkEnd w:id="19"/>
    </w:p>
    <w:p w14:paraId="0E53CE4A" w14:textId="77777777" w:rsidR="00B63AAA" w:rsidRDefault="00911C9C">
      <w:r>
        <w:t>Kje vidite priložnosti za izboljšave oz. na kakšen način menite, da bi bilo smiselno naslavljati izzive ŠP z vidika USTREZNOSTI VSEBINE?</w:t>
      </w:r>
    </w:p>
    <w:p w14:paraId="0E53CE4B" w14:textId="77777777" w:rsidR="00B63AAA" w:rsidRDefault="00911C9C">
      <w:r>
        <w:rPr>
          <w:i/>
          <w:iCs/>
        </w:rPr>
        <w:t xml:space="preserve">Zapisano bo prikazano v tabeli s predlogi izboljšav (zadnja tabela, drugi stolpec). </w:t>
      </w:r>
    </w:p>
    <w:p w14:paraId="0E53CE4C"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E4E" w14:textId="77777777">
        <w:trPr>
          <w:trHeight w:val="100"/>
        </w:trPr>
        <w:tc>
          <w:tcPr>
            <w:tcW w:w="10000" w:type="dxa"/>
          </w:tcPr>
          <w:p w14:paraId="0E53CE4D" w14:textId="77777777" w:rsidR="00B63AAA" w:rsidRDefault="00911C9C">
            <w:r>
              <w:t>Za to področje ni predvidenih ukrepov.</w:t>
            </w:r>
          </w:p>
        </w:tc>
      </w:tr>
    </w:tbl>
    <w:p w14:paraId="0E53CE4F" w14:textId="77777777" w:rsidR="00B63AAA" w:rsidRDefault="00B63AAA">
      <w:pPr>
        <w:sectPr w:rsidR="00B63AAA">
          <w:type w:val="continuous"/>
          <w:pgSz w:w="11905" w:h="16837"/>
          <w:pgMar w:top="1440" w:right="1440" w:bottom="1440" w:left="1440" w:header="720" w:footer="720" w:gutter="0"/>
          <w:cols w:space="720"/>
        </w:sectPr>
      </w:pPr>
    </w:p>
    <w:p w14:paraId="0E53CE50" w14:textId="77777777" w:rsidR="00B63AAA" w:rsidRDefault="00B63AAA"/>
    <w:p w14:paraId="0E53CE51" w14:textId="77777777" w:rsidR="00B63AAA" w:rsidRDefault="00B63AAA"/>
    <w:p w14:paraId="0E53CE52" w14:textId="77777777" w:rsidR="00B63AAA" w:rsidRDefault="00911C9C">
      <w:pPr>
        <w:pStyle w:val="Naslov1"/>
      </w:pPr>
      <w:bookmarkStart w:id="20" w:name="_Toc21"/>
      <w:r>
        <w:t>4. Prednosti in pomanjkljivosti ŠP glede na rezultate študentskih anket in primerljivih mehanizmov</w:t>
      </w:r>
      <w:bookmarkEnd w:id="20"/>
    </w:p>
    <w:p w14:paraId="0E53CE53" w14:textId="77777777" w:rsidR="00B63AAA" w:rsidRDefault="00B63AAA">
      <w:pPr>
        <w:sectPr w:rsidR="00B63AAA">
          <w:type w:val="continuous"/>
          <w:pgSz w:w="11905" w:h="16837"/>
          <w:pgMar w:top="1440" w:right="1440" w:bottom="1440" w:left="1440" w:header="720" w:footer="720" w:gutter="0"/>
          <w:cols w:space="720"/>
        </w:sectPr>
      </w:pPr>
    </w:p>
    <w:p w14:paraId="0E53CE54" w14:textId="77777777" w:rsidR="00B63AAA" w:rsidRDefault="00B63AAA"/>
    <w:p w14:paraId="0E53CE55" w14:textId="77777777" w:rsidR="00B63AAA" w:rsidRDefault="00911C9C">
      <w:pPr>
        <w:pStyle w:val="Naslov2"/>
      </w:pPr>
      <w:bookmarkStart w:id="21" w:name="_Toc22"/>
      <w:r>
        <w:t>Prednosti in pomanjkljivosti ŠP - Opis</w:t>
      </w:r>
      <w:bookmarkEnd w:id="21"/>
    </w:p>
    <w:p w14:paraId="0E53CE56" w14:textId="77777777" w:rsidR="00B63AAA" w:rsidRDefault="00911C9C">
      <w:r>
        <w:t xml:space="preserve">Na kratko povzemite ključne prednosti in pomanjkljivosti ŠP, ki izhajajo iz rezultatov študentskih anket* ali drugih primerljivih mehanizmov (npr. pogovori in srečanja s študenti ali njihovimi predstavniki, dodatne/interne ankete itd.). </w:t>
      </w:r>
    </w:p>
    <w:p w14:paraId="0E53CE57" w14:textId="77777777" w:rsidR="00B63AAA" w:rsidRDefault="00911C9C">
      <w:r>
        <w:rPr>
          <w:i/>
          <w:iCs/>
        </w:rPr>
        <w:t>Navedite predvsem rezultate, ki jih ne obravnavate v ostalih točkah samoevalvacije, kjer so posamezni rezultati iz študentskih anket že prikazani.</w:t>
      </w:r>
    </w:p>
    <w:p w14:paraId="0E53CE58" w14:textId="77777777" w:rsidR="00B63AAA" w:rsidRDefault="00911C9C">
      <w:r>
        <w:rPr>
          <w:i/>
          <w:iCs/>
        </w:rPr>
        <w:t>*Pri 1. in 2. stopnji študija: anketa o predmetih in izvajalcih, anketa o splošnih vidikih študijskega procesa, anketa o obvezni študijski praksi. Pri 3. stopnji študija: anketa po prvem, drugem, tretjem in četrtem letniku študija.</w:t>
      </w:r>
    </w:p>
    <w:tbl>
      <w:tblPr>
        <w:tblStyle w:val="box"/>
        <w:tblW w:w="0" w:type="auto"/>
        <w:tblInd w:w="50" w:type="dxa"/>
        <w:tblLook w:val="04A0" w:firstRow="1" w:lastRow="0" w:firstColumn="1" w:lastColumn="0" w:noHBand="0" w:noVBand="1"/>
      </w:tblPr>
      <w:tblGrid>
        <w:gridCol w:w="9075"/>
      </w:tblGrid>
      <w:tr w:rsidR="00B63AAA" w14:paraId="0E53CE5A" w14:textId="77777777">
        <w:trPr>
          <w:trHeight w:val="800"/>
        </w:trPr>
        <w:tc>
          <w:tcPr>
            <w:tcW w:w="10000" w:type="dxa"/>
          </w:tcPr>
          <w:p w14:paraId="0E53CE59" w14:textId="77777777" w:rsidR="00B63AAA" w:rsidRDefault="00911C9C">
            <w:r>
              <w:t>Glede na majhno število študentov tega študija in zrelosti študentov na doktorskem študiju so najbolj smiseln in zanesljiv vir povratne informacije pogovori s študenti in njihovimi mentorji. Večinoma so študenti z rednim delom študija, ko je treba opraviti študijske obveznosti, zadovoljni. To velja tudi za predmete, ki se tipično izvajajo s konzultacijami. Večinoma so študenti zadovoljni tudi s svojimi mentorji in ne opažamo pritožb o morebitni neodzivnosti. Ena od slabosti študija, ki jo opažamo že nekaj č</w:t>
            </w:r>
            <w:r>
              <w:t>asa, je majhno število vpisanih, kar ima za posledico, da se izbirni predmeti praviloma izvajajo s konzultacijami, kar je nekoliko neugodno v primerjavi s predmeti, ki se izvajajo v obliki predavanj, ki omogočajo bolj živahno izmenjavo med učitelji in študenti. Upad števila doktorandov opažamo tudi na drugih fakultetah, skušamo pa to omiliti z aktivnimi stiki s študenti in raziskovalci in pritegniti večje število študentov.  Uspeh tega niha od leta do leta.</w:t>
            </w:r>
            <w:r>
              <w:br/>
              <w:t xml:space="preserve">Študenti kot slabost izpostavljajo tudi to, da ni </w:t>
            </w:r>
            <w:r>
              <w:t xml:space="preserve">organiziranega pristopa k obisku mednarodnih konferenc ali izobraževanj v tujini. Sam študij ne predvideva sredstev za ta namen, zato Programski svet spodbuja mentorje, da poskrbijo za to, da se doktorandi </w:t>
            </w:r>
            <w:r>
              <w:lastRenderedPageBreak/>
              <w:t>udeležujejo mednarodnih dogodkov, kjer lahko predstavijo svoje raziskovalno delo širši strokovni skupnosti. Nekaj je tudi pritožb, da ni enotnega vira informacij o administrativnem vidiku študija, ker je študij porazdeljena po članicah izvajalkah, vendar je pri majhnem številu študentov vedno možno vpraša</w:t>
            </w:r>
            <w:r>
              <w:t>nja nasloviti na predsednika ali člane programskega sveta, kar študentom tudi predočimo na začetku študija.</w:t>
            </w:r>
            <w:r>
              <w:br/>
              <w:t>Klub temu, da ankete zaradi manjhnega števila odgovorov nimajo statistične teže, pa opisnega dela anket izhaja nekaj stalnic:</w:t>
            </w:r>
            <w:r>
              <w:br/>
              <w:t>- študenti večinoma visoko ocenjujejo sodelovanje z mentorji in somentorji.</w:t>
            </w:r>
            <w:r>
              <w:br/>
              <w:t>- V rednem delu študija so ocene izvajanja visoke, izstopa pa komentar o predmetu Sodobni statistični pristopi, da morda nabor predavanj znotraj tega predmeta ne ustreza vsem študentom. Teme znotraj pre</w:t>
            </w:r>
            <w:r>
              <w:t>dmeta so res raznolike in namenjene temu, da so študenti izpostavljeni številnim vidikom modeliranja v statistiki in uporabe statističnih metod. Glede na to, da je študij nastal kot interdisciplinaren na pobudo fakultet izvajalk, je v programih nujno najti ravnotežje med posameznimi moduli. Glede na to, da se ta komentar pojavlja izolirano in ga v preteklih anketah nismo zaznali, smo mnenja, da ni treba spreminjati temeljnih usmeritev študija.</w:t>
            </w:r>
            <w:r>
              <w:br/>
              <w:t>- Študenti nižjih letnikov izpostavljajo šibkejšo podporo refera</w:t>
            </w:r>
            <w:r>
              <w:t>tov in pomanjkanje jasnosti informacij o študiju, predvsem pri organizaciji študija. V višjih letnikih je ocena obratna. Znotraj študija lahko razmišljamo o bolj centraliziranem pristopu k pretoku informacij in morda drugačni organizaciji spletnih strani, smo pa mnenja, da je dostopnost informacij preko skupnih služb na rektoratu in referata na FMF dovolj dobra, nekoliko slabše pa so obveščeni referati na članicah izvajalkah, na katere se obračajo študenti.</w:t>
            </w:r>
            <w:r>
              <w:br/>
              <w:t>- Ena od kritik in slabših ocen je vzpodbujanje kr</w:t>
            </w:r>
            <w:r>
              <w:t>itičnega razmišljanja. Tako oceno predvsem opažamo v 2. letniku študija. Delno lahko to pripišemu dejstvu, da se večina izbirnih predmetov izvaja s konzultacijami, kjer študeti vsebine predelajo samostojno pod vodstvom izvajalca. Zavedamo se, da bi predavanja s kontaktnimi urami omogočila bolj živahno izmenjavo mnenj in posledično prispevala k izostritvi kritičnih pristopov. Tako lahko Programski svet apelira na izvajalce, da študente soočijo tudi s situacijami, kjer je treba kritično presojati in v tem smi</w:t>
            </w:r>
            <w:r>
              <w:t>slu organizira tudi preizkuse znanja.</w:t>
            </w:r>
            <w:r>
              <w:br/>
              <w:t>- Nekaj slabših ocen je o ponujeni infrastrukturi za študij, kar po vsej verjetnosti vključuje dostopnost do strokovne literature, računalniško podporo in morebiti laboratorijsko opremo, kjer je ta relevantna. Ker raziskovalno delo večinoma za študente poteka na matičnih fakulatetah, so ta vprašanja bolj za mentorje. Programski svet lahko izvede kratko anketo o tem, kako mentorji ocenjujejo infrastrukturno podporo, ki jo imajo doktorandi. Na podlagi tega lahko bolj zane</w:t>
            </w:r>
            <w:r>
              <w:t>sljivo presodimo ali so potrebni ukrepi, smo pa mnenja, da so za to v prvi vrsti poklicane fakultete izvajalke.</w:t>
            </w:r>
            <w:r>
              <w:br/>
              <w:t>- Med negativnimi ocenami v anketah dosledno nastopa neorganiziran pristop k mednarodni dejavnosti. Skupne službe in člani Programskega sveta se trudimo študentom predstaviti možnosti, sam študij pa nima namenskih sredstev za obiske konferenc in mednarodne izmenjave. To je v veliki meri odvisno od raziskovalnih skupin, v katere so študenti vključeni, tako kot velja za večino doktorskih programov n</w:t>
            </w:r>
            <w:r>
              <w:t xml:space="preserve">a fakultetah UL. Ena od možnosti je kreditno ovrednotenje obiska mednarodnih konferenc po predhodni odobritvi. V tej smeri razmišljamo tudi o možnostih sofinanciranja iz sredstev za izvajanje študija. To navajamo kot možnost za izboljšavo.  </w:t>
            </w:r>
          </w:p>
        </w:tc>
      </w:tr>
    </w:tbl>
    <w:p w14:paraId="0E53CE5B" w14:textId="77777777" w:rsidR="00B63AAA" w:rsidRDefault="00B63AAA">
      <w:pPr>
        <w:sectPr w:rsidR="00B63AAA">
          <w:type w:val="continuous"/>
          <w:pgSz w:w="11905" w:h="16837"/>
          <w:pgMar w:top="1440" w:right="1440" w:bottom="1440" w:left="1440" w:header="720" w:footer="720" w:gutter="0"/>
          <w:cols w:space="720"/>
        </w:sectPr>
      </w:pPr>
    </w:p>
    <w:p w14:paraId="0E53CE5C" w14:textId="77777777" w:rsidR="00B63AAA" w:rsidRDefault="00B63AAA"/>
    <w:p w14:paraId="0E53CE5D" w14:textId="77777777" w:rsidR="00B63AAA" w:rsidRDefault="00911C9C">
      <w:pPr>
        <w:pStyle w:val="Naslov2"/>
      </w:pPr>
      <w:bookmarkStart w:id="22" w:name="_Toc23"/>
      <w:r>
        <w:t>Priložnosti za izboljšave</w:t>
      </w:r>
      <w:bookmarkEnd w:id="22"/>
    </w:p>
    <w:p w14:paraId="0E53CE5E" w14:textId="77777777" w:rsidR="00B63AAA" w:rsidRDefault="00911C9C">
      <w:r>
        <w:lastRenderedPageBreak/>
        <w:t>Kje vidite priložnosti za izboljšave oz. na kakšen način menite, da bi bilo smiselno naslavljati izzive ŠP z vidika PREDNOSTI IN POMANJKLJIVOSTI ŠP GLEDE NA REZULTATE ŠTUDENTSKIH ANKET ALI DRUGIH PRIMERLJIVIH MEHANIZMOV?</w:t>
      </w:r>
    </w:p>
    <w:p w14:paraId="0E53CE5F" w14:textId="77777777" w:rsidR="00B63AAA" w:rsidRDefault="00911C9C">
      <w:r>
        <w:rPr>
          <w:i/>
          <w:iCs/>
        </w:rPr>
        <w:t xml:space="preserve">Zapisano bo prikazano v tabeli s predlogi izboljšav (zadnja tabela, drugi stolpec).  </w:t>
      </w:r>
    </w:p>
    <w:p w14:paraId="0E53CE60"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E62" w14:textId="77777777">
        <w:trPr>
          <w:trHeight w:val="100"/>
        </w:trPr>
        <w:tc>
          <w:tcPr>
            <w:tcW w:w="10000" w:type="dxa"/>
          </w:tcPr>
          <w:p w14:paraId="0E53CE61" w14:textId="77777777" w:rsidR="00B63AAA" w:rsidRDefault="00911C9C">
            <w:r>
              <w:t>Za to področje ni predvidenih ukrepov.</w:t>
            </w:r>
          </w:p>
        </w:tc>
      </w:tr>
    </w:tbl>
    <w:p w14:paraId="0E53CE63" w14:textId="77777777" w:rsidR="00B63AAA" w:rsidRDefault="00B63AAA">
      <w:pPr>
        <w:sectPr w:rsidR="00B63AAA">
          <w:type w:val="continuous"/>
          <w:pgSz w:w="11905" w:h="16837"/>
          <w:pgMar w:top="1440" w:right="1440" w:bottom="1440" w:left="1440" w:header="720" w:footer="720" w:gutter="0"/>
          <w:cols w:space="720"/>
        </w:sectPr>
      </w:pPr>
    </w:p>
    <w:p w14:paraId="0E53CE64" w14:textId="77777777" w:rsidR="00B63AAA" w:rsidRDefault="00B63AAA"/>
    <w:p w14:paraId="0E53CE65" w14:textId="77777777" w:rsidR="00B63AAA" w:rsidRDefault="00B63AAA"/>
    <w:p w14:paraId="0E53CE66" w14:textId="77777777" w:rsidR="00B63AAA" w:rsidRDefault="00911C9C">
      <w:pPr>
        <w:pStyle w:val="Naslov1"/>
      </w:pPr>
      <w:bookmarkStart w:id="23" w:name="_Toc24"/>
      <w:r>
        <w:t>5.a USPEŠNOST IN UČINKOVITOST ŠTUDIJA: Spremljanje populacije študentov na ravni ŠP</w:t>
      </w:r>
      <w:bookmarkEnd w:id="23"/>
    </w:p>
    <w:p w14:paraId="0E53CE67" w14:textId="77777777" w:rsidR="00B63AAA" w:rsidRDefault="00B63AAA">
      <w:pPr>
        <w:sectPr w:rsidR="00B63AAA">
          <w:type w:val="continuous"/>
          <w:pgSz w:w="11905" w:h="16837"/>
          <w:pgMar w:top="1440" w:right="1440" w:bottom="1440" w:left="1440" w:header="720" w:footer="720" w:gutter="0"/>
          <w:cols w:space="720"/>
        </w:sectPr>
      </w:pPr>
    </w:p>
    <w:p w14:paraId="0E53CE68" w14:textId="77777777" w:rsidR="00B63AAA" w:rsidRDefault="00B63AAA"/>
    <w:p w14:paraId="0E53CE69" w14:textId="77777777" w:rsidR="00B63AAA" w:rsidRDefault="00911C9C">
      <w:pPr>
        <w:pStyle w:val="Naslov2"/>
      </w:pPr>
      <w:bookmarkStart w:id="24" w:name="_Toc25"/>
      <w:r>
        <w:t>Spremljanje populacije študentov - Razpis, vpis</w:t>
      </w:r>
      <w:bookmarkEnd w:id="24"/>
    </w:p>
    <w:p w14:paraId="0E53CE6A" w14:textId="77777777" w:rsidR="00B63AAA" w:rsidRDefault="00911C9C">
      <w:r>
        <w:t xml:space="preserve">Opišite spremljanje populacije študentov na ravni ŠP in podajte svoj pogled na predstavljene kazalnike. </w:t>
      </w:r>
    </w:p>
    <w:p w14:paraId="0E53CE6B" w14:textId="77777777" w:rsidR="00B63AAA" w:rsidRDefault="00911C9C">
      <w:r>
        <w:t>Pri tem upoštevajte razpis, vpis.</w:t>
      </w:r>
    </w:p>
    <w:p w14:paraId="0E53CE6C" w14:textId="77777777" w:rsidR="00B63AAA" w:rsidRDefault="00B63AAA"/>
    <w:tbl>
      <w:tblPr>
        <w:tblW w:w="5000" w:type="pct"/>
        <w:tblInd w:w="10" w:type="dxa"/>
        <w:tblCellMar>
          <w:left w:w="10" w:type="dxa"/>
          <w:right w:w="10" w:type="dxa"/>
        </w:tblCellMar>
        <w:tblLook w:val="0000" w:firstRow="0" w:lastRow="0" w:firstColumn="0" w:lastColumn="0" w:noHBand="0" w:noVBand="0"/>
      </w:tblPr>
      <w:tblGrid>
        <w:gridCol w:w="9045"/>
      </w:tblGrid>
      <w:tr w:rsidR="00B63AAA" w14:paraId="0E53CEA7" w14:textId="77777777">
        <w:tblPrEx>
          <w:tblCellMar>
            <w:top w:w="0" w:type="dxa"/>
            <w:bottom w:w="0" w:type="dxa"/>
          </w:tblCellMar>
        </w:tblPrEx>
        <w:trPr>
          <w:cantSplit/>
        </w:trPr>
        <w:tc>
          <w:tcPr>
            <w:tcW w:w="0" w:type="auto"/>
          </w:tcPr>
          <w:p w14:paraId="0E53CE6D" w14:textId="77777777" w:rsidR="00B63AAA" w:rsidRDefault="00911C9C">
            <w:pPr>
              <w:jc w:val="center"/>
            </w:pPr>
            <w:r>
              <w:rPr>
                <w:b/>
                <w:bCs/>
                <w:sz w:val="20"/>
                <w:szCs w:val="20"/>
              </w:rPr>
              <w:t>Tabela 1: Število vseh vpisanih študentov v letnik po letih in načinu študija</w:t>
            </w:r>
          </w:p>
          <w:tbl>
            <w:tblPr>
              <w:tblW w:w="5000" w:type="pct"/>
              <w:tblCellMar>
                <w:left w:w="10" w:type="dxa"/>
                <w:right w:w="10" w:type="dxa"/>
              </w:tblCellMar>
              <w:tblLook w:val="0000" w:firstRow="0" w:lastRow="0" w:firstColumn="0" w:lastColumn="0" w:noHBand="0" w:noVBand="0"/>
            </w:tblPr>
            <w:tblGrid>
              <w:gridCol w:w="1699"/>
              <w:gridCol w:w="820"/>
              <w:gridCol w:w="1298"/>
              <w:gridCol w:w="1298"/>
              <w:gridCol w:w="1298"/>
              <w:gridCol w:w="1298"/>
              <w:gridCol w:w="1298"/>
            </w:tblGrid>
            <w:tr w:rsidR="00B63AAA" w14:paraId="0E53CE75" w14:textId="77777777">
              <w:tblPrEx>
                <w:tblCellMar>
                  <w:top w:w="0" w:type="dxa"/>
                  <w:bottom w:w="0" w:type="dxa"/>
                </w:tblCellMar>
              </w:tblPrEx>
              <w:tc>
                <w:tcPr>
                  <w:tcW w:w="0" w:type="auto"/>
                  <w:tcBorders>
                    <w:top w:val="single" w:sz="6" w:space="0" w:color="000000"/>
                    <w:left w:val="single" w:sz="6" w:space="0" w:color="FFFFFF"/>
                    <w:bottom w:val="single" w:sz="6" w:space="0" w:color="000000"/>
                    <w:right w:val="single" w:sz="6" w:space="0" w:color="FFFFFF"/>
                  </w:tcBorders>
                  <w:vAlign w:val="center"/>
                </w:tcPr>
                <w:p w14:paraId="0E53CE6E" w14:textId="77777777" w:rsidR="00B63AAA" w:rsidRDefault="00911C9C">
                  <w:pPr>
                    <w:spacing w:before="30" w:after="30"/>
                    <w:jc w:val="center"/>
                  </w:pPr>
                  <w:r>
                    <w:rPr>
                      <w:b/>
                      <w:bCs/>
                      <w:sz w:val="18"/>
                      <w:szCs w:val="18"/>
                    </w:rPr>
                    <w:t>Način študija</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6F" w14:textId="77777777" w:rsidR="00B63AAA" w:rsidRDefault="00911C9C">
                  <w:pPr>
                    <w:spacing w:before="30" w:after="30"/>
                    <w:jc w:val="center"/>
                  </w:pPr>
                  <w:r>
                    <w:rPr>
                      <w:b/>
                      <w:bCs/>
                      <w:sz w:val="18"/>
                      <w:szCs w:val="18"/>
                    </w:rPr>
                    <w:t>Letnik</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0" w14:textId="77777777" w:rsidR="00B63AAA" w:rsidRDefault="00911C9C">
                  <w:pPr>
                    <w:spacing w:before="30" w:after="30"/>
                    <w:jc w:val="center"/>
                  </w:pPr>
                  <w:r>
                    <w:rPr>
                      <w:b/>
                      <w:bCs/>
                      <w:sz w:val="18"/>
                      <w:szCs w:val="18"/>
                    </w:rPr>
                    <w:t>2020/2021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1" w14:textId="77777777" w:rsidR="00B63AAA" w:rsidRDefault="00911C9C">
                  <w:pPr>
                    <w:spacing w:before="30" w:after="30"/>
                    <w:jc w:val="center"/>
                  </w:pPr>
                  <w:r>
                    <w:rPr>
                      <w:b/>
                      <w:bCs/>
                      <w:sz w:val="18"/>
                      <w:szCs w:val="18"/>
                    </w:rPr>
                    <w:t>2021/2022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2" w14:textId="77777777" w:rsidR="00B63AAA" w:rsidRDefault="00911C9C">
                  <w:pPr>
                    <w:spacing w:before="30" w:after="30"/>
                    <w:jc w:val="center"/>
                  </w:pPr>
                  <w:r>
                    <w:rPr>
                      <w:b/>
                      <w:bCs/>
                      <w:sz w:val="18"/>
                      <w:szCs w:val="18"/>
                    </w:rPr>
                    <w:t>2022/2023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3" w14:textId="77777777" w:rsidR="00B63AAA" w:rsidRDefault="00911C9C">
                  <w:pPr>
                    <w:spacing w:before="30" w:after="30"/>
                    <w:jc w:val="center"/>
                  </w:pPr>
                  <w:r>
                    <w:rPr>
                      <w:b/>
                      <w:bCs/>
                      <w:sz w:val="18"/>
                      <w:szCs w:val="18"/>
                    </w:rPr>
                    <w:t>2023/2024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4" w14:textId="77777777" w:rsidR="00B63AAA" w:rsidRDefault="00911C9C">
                  <w:pPr>
                    <w:spacing w:before="30" w:after="30"/>
                    <w:jc w:val="center"/>
                  </w:pPr>
                  <w:r>
                    <w:rPr>
                      <w:b/>
                      <w:bCs/>
                      <w:sz w:val="18"/>
                      <w:szCs w:val="18"/>
                    </w:rPr>
                    <w:t>2024/2025</w:t>
                  </w:r>
                </w:p>
              </w:tc>
            </w:tr>
            <w:tr w:rsidR="00B63AAA" w14:paraId="0E53CE7D" w14:textId="77777777">
              <w:tblPrEx>
                <w:tblCellMar>
                  <w:top w:w="0" w:type="dxa"/>
                  <w:bottom w:w="0" w:type="dxa"/>
                </w:tblCellMar>
              </w:tblPrEx>
              <w:tc>
                <w:tcPr>
                  <w:tcW w:w="0" w:type="auto"/>
                  <w:vMerge w:val="restart"/>
                  <w:tcBorders>
                    <w:top w:val="single" w:sz="6" w:space="0" w:color="000000"/>
                    <w:left w:val="single" w:sz="6" w:space="0" w:color="FFFFFF"/>
                    <w:bottom w:val="single" w:sz="6" w:space="0" w:color="000000"/>
                    <w:right w:val="single" w:sz="6" w:space="0" w:color="FFFFFF"/>
                  </w:tcBorders>
                  <w:vAlign w:val="center"/>
                </w:tcPr>
                <w:p w14:paraId="0E53CE76" w14:textId="77777777" w:rsidR="00B63AAA" w:rsidRDefault="00911C9C">
                  <w:pPr>
                    <w:spacing w:before="30" w:after="30"/>
                    <w:jc w:val="center"/>
                  </w:pPr>
                  <w:r>
                    <w:rPr>
                      <w:sz w:val="18"/>
                      <w:szCs w:val="18"/>
                    </w:rPr>
                    <w:t>IZREDNI</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7" w14:textId="77777777" w:rsidR="00B63AAA" w:rsidRDefault="00911C9C">
                  <w:pPr>
                    <w:spacing w:before="30" w:after="30"/>
                    <w:jc w:val="center"/>
                  </w:pPr>
                  <w:r>
                    <w:rPr>
                      <w:sz w:val="18"/>
                      <w:szCs w:val="18"/>
                    </w:rPr>
                    <w:t>01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8" w14:textId="77777777" w:rsidR="00B63AAA" w:rsidRDefault="00911C9C">
                  <w:pPr>
                    <w:spacing w:before="30" w:after="30"/>
                    <w:jc w:val="center"/>
                  </w:pPr>
                  <w:r>
                    <w:rPr>
                      <w:sz w:val="18"/>
                      <w:szCs w:val="18"/>
                    </w:rPr>
                    <w:t>9</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9" w14:textId="77777777" w:rsidR="00B63AAA" w:rsidRDefault="00911C9C">
                  <w:pPr>
                    <w:spacing w:before="30" w:after="30"/>
                    <w:jc w:val="center"/>
                  </w:pPr>
                  <w:r>
                    <w:rPr>
                      <w:sz w:val="18"/>
                      <w:szCs w:val="18"/>
                    </w:rPr>
                    <w:t>11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A" w14:textId="77777777" w:rsidR="00B63AAA" w:rsidRDefault="00911C9C">
                  <w:pPr>
                    <w:spacing w:before="30" w:after="30"/>
                    <w:jc w:val="center"/>
                  </w:pPr>
                  <w:r>
                    <w:rPr>
                      <w:sz w:val="18"/>
                      <w:szCs w:val="18"/>
                    </w:rPr>
                    <w:t>9</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B" w14:textId="77777777" w:rsidR="00B63AAA" w:rsidRDefault="00911C9C">
                  <w:pPr>
                    <w:spacing w:before="30" w:after="30"/>
                    <w:jc w:val="center"/>
                  </w:pPr>
                  <w:r>
                    <w:rPr>
                      <w:sz w:val="18"/>
                      <w:szCs w:val="18"/>
                    </w:rPr>
                    <w:t>6</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7C" w14:textId="77777777" w:rsidR="00B63AAA" w:rsidRDefault="00911C9C">
                  <w:pPr>
                    <w:spacing w:before="30" w:after="30"/>
                    <w:jc w:val="center"/>
                  </w:pPr>
                  <w:r>
                    <w:rPr>
                      <w:sz w:val="18"/>
                      <w:szCs w:val="18"/>
                    </w:rPr>
                    <w:t>11</w:t>
                  </w:r>
                </w:p>
              </w:tc>
            </w:tr>
            <w:tr w:rsidR="00B63AAA" w14:paraId="0E53CE85"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E7E"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E7F" w14:textId="77777777" w:rsidR="00B63AAA" w:rsidRDefault="00911C9C">
                  <w:pPr>
                    <w:spacing w:before="30" w:after="30"/>
                    <w:jc w:val="center"/>
                  </w:pPr>
                  <w:r>
                    <w:rPr>
                      <w:sz w:val="18"/>
                      <w:szCs w:val="18"/>
                    </w:rPr>
                    <w:t>02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0" w14:textId="77777777" w:rsidR="00B63AAA" w:rsidRDefault="00911C9C">
                  <w:pPr>
                    <w:spacing w:before="30" w:after="30"/>
                    <w:jc w:val="center"/>
                  </w:pPr>
                  <w:r>
                    <w:rPr>
                      <w:sz w:val="18"/>
                      <w:szCs w:val="18"/>
                    </w:rPr>
                    <w:t>11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1" w14:textId="77777777" w:rsidR="00B63AAA" w:rsidRDefault="00911C9C">
                  <w:pPr>
                    <w:spacing w:before="30" w:after="30"/>
                    <w:jc w:val="center"/>
                  </w:pPr>
                  <w:r>
                    <w:rPr>
                      <w:sz w:val="18"/>
                      <w:szCs w:val="18"/>
                    </w:rPr>
                    <w:t>11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2" w14:textId="77777777" w:rsidR="00B63AAA" w:rsidRDefault="00911C9C">
                  <w:pPr>
                    <w:spacing w:before="30" w:after="30"/>
                    <w:jc w:val="center"/>
                  </w:pPr>
                  <w:r>
                    <w:rPr>
                      <w:sz w:val="18"/>
                      <w:szCs w:val="18"/>
                    </w:rPr>
                    <w:t>6</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3" w14:textId="77777777" w:rsidR="00B63AAA" w:rsidRDefault="00911C9C">
                  <w:pPr>
                    <w:spacing w:before="30" w:after="30"/>
                    <w:jc w:val="center"/>
                  </w:pPr>
                  <w:r>
                    <w:rPr>
                      <w:sz w:val="18"/>
                      <w:szCs w:val="18"/>
                    </w:rPr>
                    <w:t>5</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4" w14:textId="77777777" w:rsidR="00B63AAA" w:rsidRDefault="00911C9C">
                  <w:pPr>
                    <w:spacing w:before="30" w:after="30"/>
                    <w:jc w:val="center"/>
                  </w:pPr>
                  <w:r>
                    <w:rPr>
                      <w:sz w:val="18"/>
                      <w:szCs w:val="18"/>
                    </w:rPr>
                    <w:t>4</w:t>
                  </w:r>
                </w:p>
              </w:tc>
            </w:tr>
            <w:tr w:rsidR="00B63AAA" w14:paraId="0E53CE8D"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E86"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E87" w14:textId="77777777" w:rsidR="00B63AAA" w:rsidRDefault="00911C9C">
                  <w:pPr>
                    <w:spacing w:before="30" w:after="30"/>
                    <w:jc w:val="center"/>
                  </w:pPr>
                  <w:r>
                    <w:rPr>
                      <w:sz w:val="18"/>
                      <w:szCs w:val="18"/>
                    </w:rPr>
                    <w:t>03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8" w14:textId="77777777" w:rsidR="00B63AAA" w:rsidRDefault="00911C9C">
                  <w:pPr>
                    <w:spacing w:before="30" w:after="30"/>
                    <w:jc w:val="center"/>
                  </w:pPr>
                  <w:r>
                    <w:rPr>
                      <w:sz w:val="18"/>
                      <w:szCs w:val="18"/>
                    </w:rPr>
                    <w:t>6</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9" w14:textId="77777777" w:rsidR="00B63AAA" w:rsidRDefault="00911C9C">
                  <w:pPr>
                    <w:spacing w:before="30" w:after="30"/>
                    <w:jc w:val="center"/>
                  </w:pPr>
                  <w:r>
                    <w:rPr>
                      <w:sz w:val="18"/>
                      <w:szCs w:val="18"/>
                    </w:rPr>
                    <w:t>5</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A" w14:textId="77777777" w:rsidR="00B63AAA" w:rsidRDefault="00911C9C">
                  <w:pPr>
                    <w:spacing w:before="30" w:after="30"/>
                    <w:jc w:val="center"/>
                  </w:pPr>
                  <w:r>
                    <w:rPr>
                      <w:sz w:val="18"/>
                      <w:szCs w:val="18"/>
                    </w:rPr>
                    <w:t>5</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B" w14:textId="77777777" w:rsidR="00B63AAA" w:rsidRDefault="00911C9C">
                  <w:pPr>
                    <w:spacing w:before="30" w:after="30"/>
                    <w:jc w:val="center"/>
                  </w:pPr>
                  <w:r>
                    <w:rPr>
                      <w:sz w:val="18"/>
                      <w:szCs w:val="18"/>
                    </w:rPr>
                    <w:t>5</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8C" w14:textId="77777777" w:rsidR="00B63AAA" w:rsidRDefault="00911C9C">
                  <w:pPr>
                    <w:spacing w:before="30" w:after="30"/>
                    <w:jc w:val="center"/>
                  </w:pPr>
                  <w:r>
                    <w:rPr>
                      <w:sz w:val="18"/>
                      <w:szCs w:val="18"/>
                    </w:rPr>
                    <w:t>7</w:t>
                  </w:r>
                </w:p>
              </w:tc>
            </w:tr>
            <w:tr w:rsidR="00B63AAA" w14:paraId="0E53CE95"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E8E"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E8F" w14:textId="77777777" w:rsidR="00B63AAA" w:rsidRDefault="00911C9C">
                  <w:pPr>
                    <w:spacing w:before="30" w:after="30"/>
                    <w:jc w:val="center"/>
                  </w:pPr>
                  <w:r>
                    <w:rPr>
                      <w:sz w:val="18"/>
                      <w:szCs w:val="18"/>
                    </w:rPr>
                    <w:t>04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0" w14:textId="77777777" w:rsidR="00B63AAA" w:rsidRDefault="00911C9C">
                  <w:pPr>
                    <w:spacing w:before="30" w:after="30"/>
                    <w:jc w:val="center"/>
                  </w:pPr>
                  <w:r>
                    <w:rPr>
                      <w:sz w:val="18"/>
                      <w:szCs w:val="18"/>
                    </w:rPr>
                    <w:t>0</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1"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2" w14:textId="77777777" w:rsidR="00B63AAA" w:rsidRDefault="00911C9C">
                  <w:pPr>
                    <w:spacing w:before="30" w:after="30"/>
                    <w:jc w:val="center"/>
                  </w:pPr>
                  <w:r>
                    <w:rPr>
                      <w:sz w:val="18"/>
                      <w:szCs w:val="18"/>
                    </w:rPr>
                    <w:t>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3" w14:textId="77777777" w:rsidR="00B63AAA" w:rsidRDefault="00911C9C">
                  <w:pPr>
                    <w:spacing w:before="30" w:after="30"/>
                    <w:jc w:val="center"/>
                  </w:pPr>
                  <w:r>
                    <w:rPr>
                      <w:sz w:val="18"/>
                      <w:szCs w:val="18"/>
                    </w:rPr>
                    <w:t>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4" w14:textId="77777777" w:rsidR="00B63AAA" w:rsidRDefault="00911C9C">
                  <w:pPr>
                    <w:spacing w:before="30" w:after="30"/>
                    <w:jc w:val="center"/>
                  </w:pPr>
                  <w:r>
                    <w:rPr>
                      <w:sz w:val="18"/>
                      <w:szCs w:val="18"/>
                    </w:rPr>
                    <w:t>3</w:t>
                  </w:r>
                </w:p>
              </w:tc>
            </w:tr>
            <w:tr w:rsidR="00B63AAA" w14:paraId="0E53CE9D"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E96"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E97" w14:textId="77777777" w:rsidR="00B63AAA" w:rsidRDefault="00911C9C">
                  <w:pPr>
                    <w:spacing w:before="30" w:after="30"/>
                    <w:jc w:val="center"/>
                  </w:pPr>
                  <w:r>
                    <w:rPr>
                      <w:sz w:val="18"/>
                      <w:szCs w:val="18"/>
                    </w:rPr>
                    <w:t>0A</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8"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9" w14:textId="77777777" w:rsidR="00B63AAA" w:rsidRDefault="00911C9C">
                  <w:pPr>
                    <w:spacing w:before="30" w:after="30"/>
                    <w:jc w:val="center"/>
                  </w:pPr>
                  <w:r>
                    <w:rPr>
                      <w:sz w:val="18"/>
                      <w:szCs w:val="18"/>
                    </w:rPr>
                    <w:t>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A" w14:textId="77777777" w:rsidR="00B63AAA" w:rsidRDefault="00911C9C">
                  <w:pPr>
                    <w:spacing w:before="30" w:after="30"/>
                    <w:jc w:val="center"/>
                  </w:pPr>
                  <w:r>
                    <w:rPr>
                      <w:sz w:val="18"/>
                      <w:szCs w:val="18"/>
                    </w:rPr>
                    <w:t>5</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B"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9C" w14:textId="77777777" w:rsidR="00B63AAA" w:rsidRDefault="00911C9C">
                  <w:pPr>
                    <w:spacing w:before="30" w:after="30"/>
                    <w:jc w:val="center"/>
                  </w:pPr>
                  <w:r>
                    <w:rPr>
                      <w:sz w:val="18"/>
                      <w:szCs w:val="18"/>
                    </w:rPr>
                    <w:t>2</w:t>
                  </w:r>
                </w:p>
              </w:tc>
            </w:tr>
            <w:tr w:rsidR="00B63AAA" w14:paraId="0E53CEA5"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E9E"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E9F" w14:textId="77777777" w:rsidR="00B63AAA" w:rsidRDefault="00911C9C">
                  <w:pPr>
                    <w:spacing w:before="30" w:after="30"/>
                    <w:jc w:val="center"/>
                  </w:pPr>
                  <w:r>
                    <w:rPr>
                      <w:sz w:val="18"/>
                      <w:szCs w:val="18"/>
                    </w:rPr>
                    <w:t>Vsota</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A0" w14:textId="77777777" w:rsidR="00B63AAA" w:rsidRDefault="00911C9C">
                  <w:pPr>
                    <w:spacing w:before="30" w:after="30"/>
                    <w:jc w:val="center"/>
                  </w:pPr>
                  <w:r>
                    <w:rPr>
                      <w:sz w:val="18"/>
                      <w:szCs w:val="18"/>
                    </w:rPr>
                    <w:t>28</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A1" w14:textId="77777777" w:rsidR="00B63AAA" w:rsidRDefault="00911C9C">
                  <w:pPr>
                    <w:spacing w:before="30" w:after="30"/>
                    <w:jc w:val="center"/>
                  </w:pPr>
                  <w:r>
                    <w:rPr>
                      <w:sz w:val="18"/>
                      <w:szCs w:val="18"/>
                    </w:rPr>
                    <w:t>33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A2" w14:textId="77777777" w:rsidR="00B63AAA" w:rsidRDefault="00911C9C">
                  <w:pPr>
                    <w:spacing w:before="30" w:after="30"/>
                    <w:jc w:val="center"/>
                  </w:pPr>
                  <w:r>
                    <w:rPr>
                      <w:sz w:val="18"/>
                      <w:szCs w:val="18"/>
                    </w:rPr>
                    <w:t>28</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A3" w14:textId="77777777" w:rsidR="00B63AAA" w:rsidRDefault="00911C9C">
                  <w:pPr>
                    <w:spacing w:before="30" w:after="30"/>
                    <w:jc w:val="center"/>
                  </w:pPr>
                  <w:r>
                    <w:rPr>
                      <w:sz w:val="18"/>
                      <w:szCs w:val="18"/>
                    </w:rPr>
                    <w:t>21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A4" w14:textId="77777777" w:rsidR="00B63AAA" w:rsidRDefault="00911C9C">
                  <w:pPr>
                    <w:spacing w:before="30" w:after="30"/>
                    <w:jc w:val="center"/>
                  </w:pPr>
                  <w:r>
                    <w:rPr>
                      <w:sz w:val="18"/>
                      <w:szCs w:val="18"/>
                    </w:rPr>
                    <w:t>27</w:t>
                  </w:r>
                </w:p>
              </w:tc>
            </w:tr>
          </w:tbl>
          <w:p w14:paraId="0E53CEA6" w14:textId="77777777" w:rsidR="00B63AAA" w:rsidRDefault="00B63AAA"/>
        </w:tc>
      </w:tr>
    </w:tbl>
    <w:p w14:paraId="0E53CEA8" w14:textId="77777777" w:rsidR="00B63AAA" w:rsidRDefault="00B63AAA"/>
    <w:tbl>
      <w:tblPr>
        <w:tblStyle w:val="box"/>
        <w:tblW w:w="0" w:type="auto"/>
        <w:tblInd w:w="50" w:type="dxa"/>
        <w:tblLook w:val="04A0" w:firstRow="1" w:lastRow="0" w:firstColumn="1" w:lastColumn="0" w:noHBand="0" w:noVBand="1"/>
      </w:tblPr>
      <w:tblGrid>
        <w:gridCol w:w="9075"/>
      </w:tblGrid>
      <w:tr w:rsidR="00B63AAA" w14:paraId="0E53CEAA" w14:textId="77777777">
        <w:trPr>
          <w:trHeight w:val="800"/>
        </w:trPr>
        <w:tc>
          <w:tcPr>
            <w:tcW w:w="10000" w:type="dxa"/>
          </w:tcPr>
          <w:p w14:paraId="0E53CEA9" w14:textId="77777777" w:rsidR="00B63AAA" w:rsidRDefault="00911C9C">
            <w:r>
              <w:t>Študijski program je manjši po obsegu, tako da so odstopanja pri vpisu od leta do leta pričakovana. Kot pri mnogih drugih študijskih programih opažamo trend k nekoliko manjšemu vpisu v 1. letnik. Zato je Programski svet v študijskem letu 2024/2025 sprejel sklep, da se število razpisnih mest z 20 zmanjša na 15. Iz točke 2 je razvidno, da je prehodnost iz 1. v 2. letnik sorazmerno dobra, medtem ko je odstotek študentov, ki študij zaključijo, precej manjši. Iz razgovorov s študenti večinoma izhaja, da so razlo</w:t>
            </w:r>
            <w:r>
              <w:t xml:space="preserve">gi osebne narave, predvsem zahtevna delovna mesta, ki ne dopuščajo dovolj časa za raziskovalno delo. Študentom z nekajletno prekinitvijo študija redno pošiljamo pozive k zaključku študija, Programski svet pa praviloma prošnjam za dokončanje študija ugodi. Pri tem izpostavljamo, da je zahteva po objavah v dovolj kvalitetnih strokovnih revijah kar ostra in za študente pogosto predstavlja večletni izziv. </w:t>
            </w:r>
          </w:p>
        </w:tc>
      </w:tr>
    </w:tbl>
    <w:p w14:paraId="0E53CEAB" w14:textId="77777777" w:rsidR="00B63AAA" w:rsidRDefault="00B63AAA">
      <w:pPr>
        <w:sectPr w:rsidR="00B63AAA">
          <w:type w:val="continuous"/>
          <w:pgSz w:w="11905" w:h="16837"/>
          <w:pgMar w:top="1440" w:right="1440" w:bottom="1440" w:left="1440" w:header="720" w:footer="720" w:gutter="0"/>
          <w:cols w:space="720"/>
        </w:sectPr>
      </w:pPr>
    </w:p>
    <w:p w14:paraId="0E53CEAC" w14:textId="77777777" w:rsidR="00B63AAA" w:rsidRDefault="00B63AAA"/>
    <w:p w14:paraId="0E53CEAD" w14:textId="77777777" w:rsidR="00B63AAA" w:rsidRDefault="00911C9C">
      <w:pPr>
        <w:pStyle w:val="Naslov2"/>
      </w:pPr>
      <w:bookmarkStart w:id="25" w:name="_Toc26"/>
      <w:r>
        <w:lastRenderedPageBreak/>
        <w:t>Spremljanje populacije študentov - Prehodnost</w:t>
      </w:r>
      <w:bookmarkEnd w:id="25"/>
    </w:p>
    <w:p w14:paraId="0E53CEAE" w14:textId="77777777" w:rsidR="00B63AAA" w:rsidRDefault="00911C9C">
      <w:r>
        <w:t xml:space="preserve">Opišite spremljanje populacije študentov na ravni ŠP in podajte svoj pogled na predstavljene kazalnike. </w:t>
      </w:r>
    </w:p>
    <w:p w14:paraId="0E53CEAF" w14:textId="77777777" w:rsidR="00B63AAA" w:rsidRDefault="00911C9C">
      <w:r>
        <w:t>Pri tem upoštevajte prehodnost (o</w:t>
      </w:r>
      <w:r>
        <w:rPr>
          <w:i/>
          <w:iCs/>
        </w:rPr>
        <w:t xml:space="preserve">d vključno leta 2021/22 se je spremenila metodologija izračuna prehodnosti na ravni UL. Za več informacij glejte pojasnilo v rubriki </w:t>
      </w:r>
      <w:hyperlink r:id="rId12" w:history="1">
        <w:r>
          <w:t>Pogosto zastavljena vprašanja</w:t>
        </w:r>
      </w:hyperlink>
      <w:r>
        <w:t>).</w:t>
      </w:r>
    </w:p>
    <w:p w14:paraId="0E53CEB0" w14:textId="77777777" w:rsidR="00B63AAA" w:rsidRDefault="00B63AAA"/>
    <w:tbl>
      <w:tblPr>
        <w:tblW w:w="5000" w:type="pct"/>
        <w:tblInd w:w="10" w:type="dxa"/>
        <w:tblCellMar>
          <w:left w:w="10" w:type="dxa"/>
          <w:right w:w="10" w:type="dxa"/>
        </w:tblCellMar>
        <w:tblLook w:val="0000" w:firstRow="0" w:lastRow="0" w:firstColumn="0" w:lastColumn="0" w:noHBand="0" w:noVBand="0"/>
      </w:tblPr>
      <w:tblGrid>
        <w:gridCol w:w="9045"/>
      </w:tblGrid>
      <w:tr w:rsidR="00B63AAA" w14:paraId="0E53CEBF" w14:textId="77777777">
        <w:tblPrEx>
          <w:tblCellMar>
            <w:top w:w="0" w:type="dxa"/>
            <w:bottom w:w="0" w:type="dxa"/>
          </w:tblCellMar>
        </w:tblPrEx>
        <w:trPr>
          <w:cantSplit/>
        </w:trPr>
        <w:tc>
          <w:tcPr>
            <w:tcW w:w="0" w:type="auto"/>
          </w:tcPr>
          <w:p w14:paraId="0E53CEB1" w14:textId="77777777" w:rsidR="00B63AAA" w:rsidRDefault="00911C9C">
            <w:pPr>
              <w:jc w:val="center"/>
            </w:pPr>
            <w:r>
              <w:rPr>
                <w:b/>
                <w:bCs/>
                <w:sz w:val="20"/>
                <w:szCs w:val="20"/>
              </w:rPr>
              <w:t>Tabela 2: Prehodnost iz 1. v 2. letnik po letih</w:t>
            </w:r>
          </w:p>
          <w:tbl>
            <w:tblPr>
              <w:tblW w:w="5000" w:type="pct"/>
              <w:tblCellMar>
                <w:left w:w="10" w:type="dxa"/>
                <w:right w:w="10" w:type="dxa"/>
              </w:tblCellMar>
              <w:tblLook w:val="0000" w:firstRow="0" w:lastRow="0" w:firstColumn="0" w:lastColumn="0" w:noHBand="0" w:noVBand="0"/>
            </w:tblPr>
            <w:tblGrid>
              <w:gridCol w:w="1801"/>
              <w:gridCol w:w="1802"/>
              <w:gridCol w:w="1802"/>
              <w:gridCol w:w="1802"/>
              <w:gridCol w:w="1802"/>
            </w:tblGrid>
            <w:tr w:rsidR="00B63AAA" w14:paraId="0E53CEB7" w14:textId="77777777">
              <w:tblPrEx>
                <w:tblCellMar>
                  <w:top w:w="0" w:type="dxa"/>
                  <w:bottom w:w="0" w:type="dxa"/>
                </w:tblCellMar>
              </w:tblPrEx>
              <w:tc>
                <w:tcPr>
                  <w:tcW w:w="0" w:type="auto"/>
                  <w:tcBorders>
                    <w:top w:val="single" w:sz="6" w:space="0" w:color="000000"/>
                    <w:left w:val="single" w:sz="6" w:space="0" w:color="FFFFFF"/>
                    <w:bottom w:val="single" w:sz="6" w:space="0" w:color="000000"/>
                    <w:right w:val="single" w:sz="6" w:space="0" w:color="FFFFFF"/>
                  </w:tcBorders>
                  <w:vAlign w:val="center"/>
                </w:tcPr>
                <w:p w14:paraId="0E53CEB2" w14:textId="77777777" w:rsidR="00B63AAA" w:rsidRDefault="00911C9C">
                  <w:pPr>
                    <w:spacing w:before="30" w:after="30"/>
                    <w:jc w:val="center"/>
                  </w:pPr>
                  <w:r>
                    <w:rPr>
                      <w:b/>
                      <w:bCs/>
                      <w:sz w:val="18"/>
                      <w:szCs w:val="18"/>
                    </w:rPr>
                    <w:t>2020/2021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3" w14:textId="77777777" w:rsidR="00B63AAA" w:rsidRDefault="00911C9C">
                  <w:pPr>
                    <w:spacing w:before="30" w:after="30"/>
                    <w:jc w:val="center"/>
                  </w:pPr>
                  <w:r>
                    <w:rPr>
                      <w:b/>
                      <w:bCs/>
                      <w:sz w:val="18"/>
                      <w:szCs w:val="18"/>
                    </w:rPr>
                    <w:t>2021/2022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4" w14:textId="77777777" w:rsidR="00B63AAA" w:rsidRDefault="00911C9C">
                  <w:pPr>
                    <w:spacing w:before="30" w:after="30"/>
                    <w:jc w:val="center"/>
                  </w:pPr>
                  <w:r>
                    <w:rPr>
                      <w:b/>
                      <w:bCs/>
                      <w:sz w:val="18"/>
                      <w:szCs w:val="18"/>
                    </w:rPr>
                    <w:t>2022/2023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5" w14:textId="77777777" w:rsidR="00B63AAA" w:rsidRDefault="00911C9C">
                  <w:pPr>
                    <w:spacing w:before="30" w:after="30"/>
                    <w:jc w:val="center"/>
                  </w:pPr>
                  <w:r>
                    <w:rPr>
                      <w:b/>
                      <w:bCs/>
                      <w:sz w:val="18"/>
                      <w:szCs w:val="18"/>
                    </w:rPr>
                    <w:t>2023/2024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6" w14:textId="77777777" w:rsidR="00B63AAA" w:rsidRDefault="00911C9C">
                  <w:pPr>
                    <w:spacing w:before="30" w:after="30"/>
                    <w:jc w:val="center"/>
                  </w:pPr>
                  <w:r>
                    <w:rPr>
                      <w:b/>
                      <w:bCs/>
                      <w:sz w:val="18"/>
                      <w:szCs w:val="18"/>
                    </w:rPr>
                    <w:t>2024/2025</w:t>
                  </w:r>
                </w:p>
              </w:tc>
            </w:tr>
            <w:tr w:rsidR="00B63AAA" w14:paraId="0E53CEBD" w14:textId="77777777">
              <w:tblPrEx>
                <w:tblCellMar>
                  <w:top w:w="0" w:type="dxa"/>
                  <w:bottom w:w="0" w:type="dxa"/>
                </w:tblCellMar>
              </w:tblPrEx>
              <w:tc>
                <w:tcPr>
                  <w:tcW w:w="0" w:type="auto"/>
                  <w:tcBorders>
                    <w:top w:val="single" w:sz="6" w:space="0" w:color="000000"/>
                    <w:left w:val="single" w:sz="6" w:space="0" w:color="FFFFFF"/>
                    <w:bottom w:val="single" w:sz="6" w:space="0" w:color="000000"/>
                    <w:right w:val="single" w:sz="6" w:space="0" w:color="FFFFFF"/>
                  </w:tcBorders>
                  <w:vAlign w:val="center"/>
                </w:tcPr>
                <w:p w14:paraId="0E53CEB8" w14:textId="77777777" w:rsidR="00B63AAA" w:rsidRDefault="00911C9C">
                  <w:pPr>
                    <w:spacing w:before="30" w:after="30"/>
                    <w:jc w:val="center"/>
                  </w:pPr>
                  <w:r>
                    <w:rPr>
                      <w:sz w:val="18"/>
                      <w:szCs w:val="18"/>
                    </w:rPr>
                    <w:t>66,7 %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9" w14:textId="77777777" w:rsidR="00B63AAA" w:rsidRDefault="00911C9C">
                  <w:pPr>
                    <w:spacing w:before="30" w:after="30"/>
                    <w:jc w:val="center"/>
                  </w:pPr>
                  <w:r>
                    <w:rPr>
                      <w:sz w:val="18"/>
                      <w:szCs w:val="18"/>
                    </w:rPr>
                    <w:t>62,5 %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A" w14:textId="77777777" w:rsidR="00B63AAA" w:rsidRDefault="00911C9C">
                  <w:pPr>
                    <w:spacing w:before="30" w:after="30"/>
                    <w:jc w:val="center"/>
                  </w:pPr>
                  <w:r>
                    <w:rPr>
                      <w:sz w:val="18"/>
                      <w:szCs w:val="18"/>
                    </w:rPr>
                    <w:t>27,3 %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B" w14:textId="77777777" w:rsidR="00B63AAA" w:rsidRDefault="00911C9C">
                  <w:pPr>
                    <w:spacing w:before="30" w:after="30"/>
                    <w:jc w:val="center"/>
                  </w:pPr>
                  <w:r>
                    <w:rPr>
                      <w:sz w:val="18"/>
                      <w:szCs w:val="18"/>
                    </w:rPr>
                    <w:t>55,6 %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BC" w14:textId="77777777" w:rsidR="00B63AAA" w:rsidRDefault="00911C9C">
                  <w:pPr>
                    <w:spacing w:before="30" w:after="30"/>
                    <w:jc w:val="center"/>
                  </w:pPr>
                  <w:r>
                    <w:rPr>
                      <w:sz w:val="18"/>
                      <w:szCs w:val="18"/>
                    </w:rPr>
                    <w:t>66,7 %</w:t>
                  </w:r>
                </w:p>
              </w:tc>
            </w:tr>
          </w:tbl>
          <w:p w14:paraId="0E53CEBE" w14:textId="77777777" w:rsidR="00B63AAA" w:rsidRDefault="00B63AAA"/>
        </w:tc>
      </w:tr>
    </w:tbl>
    <w:p w14:paraId="0E53CEC0" w14:textId="77777777" w:rsidR="00B63AAA" w:rsidRDefault="00B63AAA"/>
    <w:tbl>
      <w:tblPr>
        <w:tblStyle w:val="box"/>
        <w:tblW w:w="0" w:type="auto"/>
        <w:tblInd w:w="50" w:type="dxa"/>
        <w:tblLook w:val="04A0" w:firstRow="1" w:lastRow="0" w:firstColumn="1" w:lastColumn="0" w:noHBand="0" w:noVBand="1"/>
      </w:tblPr>
      <w:tblGrid>
        <w:gridCol w:w="9075"/>
      </w:tblGrid>
      <w:tr w:rsidR="00B63AAA" w14:paraId="0E53CEC2" w14:textId="77777777">
        <w:trPr>
          <w:trHeight w:val="800"/>
        </w:trPr>
        <w:tc>
          <w:tcPr>
            <w:tcW w:w="10000" w:type="dxa"/>
          </w:tcPr>
          <w:p w14:paraId="0E53CEC1" w14:textId="77777777" w:rsidR="00B63AAA" w:rsidRDefault="00911C9C">
            <w:r>
              <w:t xml:space="preserve">Prehodnost iz 1. v 2. letnik je praviloma kar visoka. Opažamo, da študentom, ki niso dokončali študijev naravoslovne ali tehniške smeri, manjka nekaj matematičnih osnov za temeljne predmete v 1. letniku in zato potrebujejo več časa, da zapolnijo vrzeli in se naučijo osnov, potrebnih za predmete, kot je Metodologija statističnega raziskovanja. Nihanje odstotka prehodnosti lahko pripišemo majhnemu številu študentov, kjer že to, da en sam študent ne izpolni pogojev, lahko precej vpliva na odstotek prehodnosti </w:t>
            </w:r>
            <w:r>
              <w:t xml:space="preserve">in zato temu nihanju ne moremo pripisati  statistične značilnosti.  </w:t>
            </w:r>
          </w:p>
        </w:tc>
      </w:tr>
    </w:tbl>
    <w:p w14:paraId="0E53CEC3" w14:textId="77777777" w:rsidR="00B63AAA" w:rsidRDefault="00B63AAA">
      <w:pPr>
        <w:sectPr w:rsidR="00B63AAA">
          <w:type w:val="continuous"/>
          <w:pgSz w:w="11905" w:h="16837"/>
          <w:pgMar w:top="1440" w:right="1440" w:bottom="1440" w:left="1440" w:header="720" w:footer="720" w:gutter="0"/>
          <w:cols w:space="720"/>
        </w:sectPr>
      </w:pPr>
    </w:p>
    <w:p w14:paraId="0E53CEC4" w14:textId="77777777" w:rsidR="00B63AAA" w:rsidRDefault="00B63AAA"/>
    <w:p w14:paraId="0E53CEC5" w14:textId="77777777" w:rsidR="00B63AAA" w:rsidRDefault="00911C9C">
      <w:pPr>
        <w:pStyle w:val="Naslov2"/>
      </w:pPr>
      <w:bookmarkStart w:id="26" w:name="_Toc27"/>
      <w:r>
        <w:t>Spremljanje populacije študentov - Zaključek študija</w:t>
      </w:r>
      <w:bookmarkEnd w:id="26"/>
    </w:p>
    <w:p w14:paraId="0E53CEC6" w14:textId="77777777" w:rsidR="00B63AAA" w:rsidRDefault="00911C9C">
      <w:r>
        <w:t xml:space="preserve">Opišite spremljanje populacije študentov na ravni ŠP in podajte svoj pogled na predstavljene kazalnike. </w:t>
      </w:r>
    </w:p>
    <w:p w14:paraId="0E53CEC7" w14:textId="77777777" w:rsidR="00B63AAA" w:rsidRDefault="00911C9C">
      <w:r>
        <w:t>Pri tem upoštevajte zaključek študija (</w:t>
      </w:r>
      <w:r>
        <w:rPr>
          <w:i/>
          <w:iCs/>
        </w:rPr>
        <w:t>število diplomantov je prikazano za koledarsko leto</w:t>
      </w:r>
      <w:r>
        <w:t>).</w:t>
      </w:r>
    </w:p>
    <w:p w14:paraId="0E53CEC8" w14:textId="77777777" w:rsidR="00B63AAA" w:rsidRDefault="00B63AAA"/>
    <w:tbl>
      <w:tblPr>
        <w:tblW w:w="5000" w:type="pct"/>
        <w:tblInd w:w="10" w:type="dxa"/>
        <w:tblCellMar>
          <w:left w:w="10" w:type="dxa"/>
          <w:right w:w="10" w:type="dxa"/>
        </w:tblCellMar>
        <w:tblLook w:val="0000" w:firstRow="0" w:lastRow="0" w:firstColumn="0" w:lastColumn="0" w:noHBand="0" w:noVBand="0"/>
      </w:tblPr>
      <w:tblGrid>
        <w:gridCol w:w="9045"/>
      </w:tblGrid>
      <w:tr w:rsidR="00B63AAA" w14:paraId="0E53CED7" w14:textId="77777777">
        <w:tblPrEx>
          <w:tblCellMar>
            <w:top w:w="0" w:type="dxa"/>
            <w:bottom w:w="0" w:type="dxa"/>
          </w:tblCellMar>
        </w:tblPrEx>
        <w:trPr>
          <w:cantSplit/>
        </w:trPr>
        <w:tc>
          <w:tcPr>
            <w:tcW w:w="0" w:type="auto"/>
          </w:tcPr>
          <w:p w14:paraId="0E53CEC9" w14:textId="77777777" w:rsidR="00B63AAA" w:rsidRDefault="00911C9C">
            <w:pPr>
              <w:jc w:val="center"/>
            </w:pPr>
            <w:r>
              <w:rPr>
                <w:b/>
                <w:bCs/>
                <w:sz w:val="20"/>
                <w:szCs w:val="20"/>
              </w:rPr>
              <w:t>Tabela 3: Število diplomantov po letih</w:t>
            </w:r>
          </w:p>
          <w:tbl>
            <w:tblPr>
              <w:tblW w:w="5000" w:type="pct"/>
              <w:tblCellMar>
                <w:left w:w="10" w:type="dxa"/>
                <w:right w:w="10" w:type="dxa"/>
              </w:tblCellMar>
              <w:tblLook w:val="0000" w:firstRow="0" w:lastRow="0" w:firstColumn="0" w:lastColumn="0" w:noHBand="0" w:noVBand="0"/>
            </w:tblPr>
            <w:tblGrid>
              <w:gridCol w:w="1801"/>
              <w:gridCol w:w="1802"/>
              <w:gridCol w:w="1802"/>
              <w:gridCol w:w="1802"/>
              <w:gridCol w:w="1802"/>
            </w:tblGrid>
            <w:tr w:rsidR="00B63AAA" w14:paraId="0E53CECF" w14:textId="77777777">
              <w:tblPrEx>
                <w:tblCellMar>
                  <w:top w:w="0" w:type="dxa"/>
                  <w:bottom w:w="0" w:type="dxa"/>
                </w:tblCellMar>
              </w:tblPrEx>
              <w:tc>
                <w:tcPr>
                  <w:tcW w:w="0" w:type="auto"/>
                  <w:tcBorders>
                    <w:top w:val="single" w:sz="6" w:space="0" w:color="000000"/>
                    <w:left w:val="single" w:sz="6" w:space="0" w:color="FFFFFF"/>
                    <w:bottom w:val="single" w:sz="6" w:space="0" w:color="000000"/>
                    <w:right w:val="single" w:sz="6" w:space="0" w:color="FFFFFF"/>
                  </w:tcBorders>
                  <w:vAlign w:val="center"/>
                </w:tcPr>
                <w:p w14:paraId="0E53CECA" w14:textId="77777777" w:rsidR="00B63AAA" w:rsidRDefault="00911C9C">
                  <w:pPr>
                    <w:spacing w:before="30" w:after="30"/>
                    <w:jc w:val="center"/>
                  </w:pPr>
                  <w:r>
                    <w:rPr>
                      <w:b/>
                      <w:bCs/>
                      <w:sz w:val="18"/>
                      <w:szCs w:val="18"/>
                    </w:rPr>
                    <w:t>2020</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CB" w14:textId="77777777" w:rsidR="00B63AAA" w:rsidRDefault="00911C9C">
                  <w:pPr>
                    <w:spacing w:before="30" w:after="30"/>
                    <w:jc w:val="center"/>
                  </w:pPr>
                  <w:r>
                    <w:rPr>
                      <w:b/>
                      <w:bCs/>
                      <w:sz w:val="18"/>
                      <w:szCs w:val="18"/>
                    </w:rPr>
                    <w:t>2021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CC" w14:textId="77777777" w:rsidR="00B63AAA" w:rsidRDefault="00911C9C">
                  <w:pPr>
                    <w:spacing w:before="30" w:after="30"/>
                    <w:jc w:val="center"/>
                  </w:pPr>
                  <w:r>
                    <w:rPr>
                      <w:b/>
                      <w:bCs/>
                      <w:sz w:val="18"/>
                      <w:szCs w:val="18"/>
                    </w:rPr>
                    <w:t>2022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CD" w14:textId="77777777" w:rsidR="00B63AAA" w:rsidRDefault="00911C9C">
                  <w:pPr>
                    <w:spacing w:before="30" w:after="30"/>
                    <w:jc w:val="center"/>
                  </w:pPr>
                  <w:r>
                    <w:rPr>
                      <w:b/>
                      <w:bCs/>
                      <w:sz w:val="18"/>
                      <w:szCs w:val="18"/>
                    </w:rPr>
                    <w:t>2023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CE" w14:textId="77777777" w:rsidR="00B63AAA" w:rsidRDefault="00911C9C">
                  <w:pPr>
                    <w:spacing w:before="30" w:after="30"/>
                    <w:jc w:val="center"/>
                  </w:pPr>
                  <w:r>
                    <w:rPr>
                      <w:b/>
                      <w:bCs/>
                      <w:sz w:val="18"/>
                      <w:szCs w:val="18"/>
                    </w:rPr>
                    <w:t>2024</w:t>
                  </w:r>
                </w:p>
              </w:tc>
            </w:tr>
            <w:tr w:rsidR="00B63AAA" w14:paraId="0E53CED5" w14:textId="77777777">
              <w:tblPrEx>
                <w:tblCellMar>
                  <w:top w:w="0" w:type="dxa"/>
                  <w:bottom w:w="0" w:type="dxa"/>
                </w:tblCellMar>
              </w:tblPrEx>
              <w:tc>
                <w:tcPr>
                  <w:tcW w:w="0" w:type="auto"/>
                  <w:tcBorders>
                    <w:top w:val="single" w:sz="6" w:space="0" w:color="000000"/>
                    <w:left w:val="single" w:sz="6" w:space="0" w:color="FFFFFF"/>
                    <w:bottom w:val="single" w:sz="6" w:space="0" w:color="000000"/>
                    <w:right w:val="single" w:sz="6" w:space="0" w:color="FFFFFF"/>
                  </w:tcBorders>
                  <w:vAlign w:val="center"/>
                </w:tcPr>
                <w:p w14:paraId="0E53CED0" w14:textId="77777777" w:rsidR="00B63AAA" w:rsidRDefault="00911C9C">
                  <w:pPr>
                    <w:spacing w:before="30" w:after="30"/>
                    <w:jc w:val="center"/>
                  </w:pPr>
                  <w:r>
                    <w:rPr>
                      <w:sz w:val="18"/>
                      <w:szCs w:val="18"/>
                    </w:rPr>
                    <w:t>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D1" w14:textId="77777777" w:rsidR="00B63AAA" w:rsidRDefault="00911C9C">
                  <w:pPr>
                    <w:spacing w:before="30" w:after="30"/>
                    <w:jc w:val="center"/>
                  </w:pPr>
                  <w:r>
                    <w:rPr>
                      <w:sz w:val="18"/>
                      <w:szCs w:val="18"/>
                    </w:rPr>
                    <w:t>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D2"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D3" w14:textId="77777777" w:rsidR="00B63AAA" w:rsidRDefault="00911C9C">
                  <w:pPr>
                    <w:spacing w:before="30" w:after="30"/>
                    <w:jc w:val="center"/>
                  </w:pPr>
                  <w:r>
                    <w:rPr>
                      <w:sz w:val="18"/>
                      <w:szCs w:val="18"/>
                    </w:rPr>
                    <w:t>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ED4" w14:textId="77777777" w:rsidR="00B63AAA" w:rsidRDefault="00911C9C">
                  <w:pPr>
                    <w:spacing w:before="30" w:after="30"/>
                    <w:jc w:val="center"/>
                  </w:pPr>
                  <w:r>
                    <w:rPr>
                      <w:sz w:val="18"/>
                      <w:szCs w:val="18"/>
                    </w:rPr>
                    <w:t>4</w:t>
                  </w:r>
                </w:p>
              </w:tc>
            </w:tr>
          </w:tbl>
          <w:p w14:paraId="0E53CED6" w14:textId="77777777" w:rsidR="00B63AAA" w:rsidRDefault="00B63AAA"/>
        </w:tc>
      </w:tr>
    </w:tbl>
    <w:p w14:paraId="0E53CED8" w14:textId="77777777" w:rsidR="00B63AAA" w:rsidRDefault="00B63AAA"/>
    <w:tbl>
      <w:tblPr>
        <w:tblStyle w:val="box"/>
        <w:tblW w:w="0" w:type="auto"/>
        <w:tblInd w:w="50" w:type="dxa"/>
        <w:tblLook w:val="04A0" w:firstRow="1" w:lastRow="0" w:firstColumn="1" w:lastColumn="0" w:noHBand="0" w:noVBand="1"/>
      </w:tblPr>
      <w:tblGrid>
        <w:gridCol w:w="9075"/>
      </w:tblGrid>
      <w:tr w:rsidR="00B63AAA" w14:paraId="0E53CEDA" w14:textId="77777777">
        <w:trPr>
          <w:trHeight w:val="800"/>
        </w:trPr>
        <w:tc>
          <w:tcPr>
            <w:tcW w:w="10000" w:type="dxa"/>
          </w:tcPr>
          <w:p w14:paraId="0E53CED9" w14:textId="77777777" w:rsidR="00B63AAA" w:rsidRDefault="00911C9C">
            <w:r>
              <w:t>Število študentov, ki študij zaključijo z zagovorom doktorske disertacije, je občutno manjše od začetnega vpisa. Podatki iz zadnjih let kažejo, da študij uspešno zaključi le okrog 30 % študentov, ki so bili vpisani v 1. letnik. Ta odstotek je treba interpretirati z nekoliko previdnosti, ker med tiste, ki študija niso zaključili, spadajo tudi študenti z daljšimi prekinitvami, ki pa se pogosto reaktivirajo in študij zaključijo. Deloma pa lahko nizek odstotek pripišemo zahtevnosti raziskovalnega dela na področ</w:t>
            </w:r>
            <w:r>
              <w:t>ju statistike in njihove uporabe, kar mnogi študenti na začetku podcenijo in so potem soočeni z ostrimi zahtevami po kvalitetnih objavah.</w:t>
            </w:r>
          </w:p>
        </w:tc>
      </w:tr>
    </w:tbl>
    <w:p w14:paraId="0E53CEDB" w14:textId="77777777" w:rsidR="00B63AAA" w:rsidRDefault="00B63AAA">
      <w:pPr>
        <w:sectPr w:rsidR="00B63AAA">
          <w:type w:val="continuous"/>
          <w:pgSz w:w="11905" w:h="16837"/>
          <w:pgMar w:top="1440" w:right="1440" w:bottom="1440" w:left="1440" w:header="720" w:footer="720" w:gutter="0"/>
          <w:cols w:space="720"/>
        </w:sectPr>
      </w:pPr>
    </w:p>
    <w:p w14:paraId="0E53CEDC" w14:textId="77777777" w:rsidR="00B63AAA" w:rsidRDefault="00B63AAA"/>
    <w:p w14:paraId="0E53CEDD" w14:textId="77777777" w:rsidR="00B63AAA" w:rsidRDefault="00911C9C">
      <w:pPr>
        <w:pStyle w:val="Naslov2"/>
      </w:pPr>
      <w:bookmarkStart w:id="27" w:name="_Toc28"/>
      <w:r>
        <w:t>Ocena oz. vrednotenje</w:t>
      </w:r>
      <w:bookmarkEnd w:id="27"/>
    </w:p>
    <w:p w14:paraId="0E53CEDE" w14:textId="77777777" w:rsidR="00B63AAA" w:rsidRDefault="00911C9C">
      <w:r>
        <w:lastRenderedPageBreak/>
        <w:t xml:space="preserve">Na splošno podajte oceno izvajanja ŠP v luči zgornjih kazalnikov. </w:t>
      </w:r>
    </w:p>
    <w:p w14:paraId="0E53CEDF" w14:textId="77777777" w:rsidR="00B63AAA" w:rsidRDefault="00911C9C">
      <w:r>
        <w:t>Oceno utemeljite z navedbami trendov kazalnikov, mnenji, ugotovitvami.</w:t>
      </w:r>
    </w:p>
    <w:tbl>
      <w:tblPr>
        <w:tblStyle w:val="box"/>
        <w:tblW w:w="0" w:type="auto"/>
        <w:tblInd w:w="50" w:type="dxa"/>
        <w:tblLook w:val="04A0" w:firstRow="1" w:lastRow="0" w:firstColumn="1" w:lastColumn="0" w:noHBand="0" w:noVBand="1"/>
      </w:tblPr>
      <w:tblGrid>
        <w:gridCol w:w="9075"/>
      </w:tblGrid>
      <w:tr w:rsidR="00B63AAA" w14:paraId="0E53CEE1" w14:textId="77777777">
        <w:trPr>
          <w:trHeight w:val="800"/>
        </w:trPr>
        <w:tc>
          <w:tcPr>
            <w:tcW w:w="10000" w:type="dxa"/>
          </w:tcPr>
          <w:p w14:paraId="0E53CEE0" w14:textId="77777777" w:rsidR="00B63AAA" w:rsidRDefault="00911C9C">
            <w:r>
              <w:t xml:space="preserve">Odstotki prehodnosti in zaključka študija se ves čas obstoja študijskega programa gibljejo v okviru pričakovanih odstotkov. Trend upadanja interesa za doktorski študij je splošen in ga poskušamo kompenzirati s čim več aktivnostmi za pridobivanje in in informiranje študentov. Aktivnosti vključujejo informativne dneve po članicah, posebej informativni dan za študijski program, spodbujanje študentov magistrskega študija Uporabne statistike k nadaljevanju študija na doktorskem nivoju in iskanje študentov preko </w:t>
            </w:r>
            <w:r>
              <w:t>omrežij raziskovalcev, ki so udeleženi v programu. Člani Programskega sveta imajo v višjih letnikih tudi predstavitve administrativnih postopkov, kot je oddaja dispozicije doktorske disertacije, da študenti pravočasno izpeljejo te postopke. Kot rečeno, tudi redno preverjamo študente z daljšimi prekinitvami študija in jih spodbujamo k nadaljevanju študija.</w:t>
            </w:r>
          </w:p>
        </w:tc>
      </w:tr>
    </w:tbl>
    <w:p w14:paraId="0E53CEE2" w14:textId="77777777" w:rsidR="00B63AAA" w:rsidRDefault="00B63AAA">
      <w:pPr>
        <w:sectPr w:rsidR="00B63AAA">
          <w:type w:val="continuous"/>
          <w:pgSz w:w="11905" w:h="16837"/>
          <w:pgMar w:top="1440" w:right="1440" w:bottom="1440" w:left="1440" w:header="720" w:footer="720" w:gutter="0"/>
          <w:cols w:space="720"/>
        </w:sectPr>
      </w:pPr>
    </w:p>
    <w:p w14:paraId="0E53CEE3" w14:textId="77777777" w:rsidR="00B63AAA" w:rsidRDefault="00B63AAA"/>
    <w:p w14:paraId="0E53CEE4" w14:textId="77777777" w:rsidR="00B63AAA" w:rsidRDefault="00911C9C">
      <w:pPr>
        <w:pStyle w:val="Naslov2"/>
      </w:pPr>
      <w:bookmarkStart w:id="28" w:name="_Toc29"/>
      <w:r>
        <w:t>Priložnosti za izboljšave</w:t>
      </w:r>
      <w:bookmarkEnd w:id="28"/>
    </w:p>
    <w:p w14:paraId="0E53CEE5" w14:textId="77777777" w:rsidR="00B63AAA" w:rsidRDefault="00911C9C">
      <w:r>
        <w:t>Kje vidite priložnosti za izboljšave oz. na kakšen način menite, da bi bilo smiselno naslavljati izzive ŠP z vidika SPREMLJANJA POPULACIJE ŠTUDENTOV?</w:t>
      </w:r>
    </w:p>
    <w:p w14:paraId="0E53CEE6" w14:textId="77777777" w:rsidR="00B63AAA" w:rsidRDefault="00911C9C">
      <w:r>
        <w:rPr>
          <w:i/>
          <w:iCs/>
        </w:rPr>
        <w:t xml:space="preserve">Zapisano bo prikazano v tabeli s predlogi izboljšav (zadnja tabela, drugi stolpec). </w:t>
      </w:r>
    </w:p>
    <w:p w14:paraId="0E53CEE7"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EE9" w14:textId="77777777">
        <w:trPr>
          <w:trHeight w:val="100"/>
        </w:trPr>
        <w:tc>
          <w:tcPr>
            <w:tcW w:w="10000" w:type="dxa"/>
          </w:tcPr>
          <w:p w14:paraId="0E53CEE8" w14:textId="77777777" w:rsidR="00B63AAA" w:rsidRDefault="00911C9C">
            <w:r>
              <w:t>Za to področje ni predvidenih ukrepov.</w:t>
            </w:r>
          </w:p>
        </w:tc>
      </w:tr>
    </w:tbl>
    <w:p w14:paraId="0E53CEEA" w14:textId="77777777" w:rsidR="00B63AAA" w:rsidRDefault="00B63AAA">
      <w:pPr>
        <w:sectPr w:rsidR="00B63AAA">
          <w:type w:val="continuous"/>
          <w:pgSz w:w="11905" w:h="16837"/>
          <w:pgMar w:top="1440" w:right="1440" w:bottom="1440" w:left="1440" w:header="720" w:footer="720" w:gutter="0"/>
          <w:cols w:space="720"/>
        </w:sectPr>
      </w:pPr>
    </w:p>
    <w:p w14:paraId="0E53CEEB" w14:textId="77777777" w:rsidR="00B63AAA" w:rsidRDefault="00B63AAA"/>
    <w:p w14:paraId="0E53CEEC" w14:textId="77777777" w:rsidR="00B63AAA" w:rsidRDefault="00B63AAA"/>
    <w:p w14:paraId="0E53CEED" w14:textId="77777777" w:rsidR="00B63AAA" w:rsidRDefault="00911C9C">
      <w:pPr>
        <w:pStyle w:val="Naslov1"/>
      </w:pPr>
      <w:bookmarkStart w:id="29" w:name="_Toc30"/>
      <w:r>
        <w:t>5.b USPEŠNOST IN UČINKOVITOST ŠTUDIJA: Spremljanje in zagotavljanje kakovosti pedagoškega procesa</w:t>
      </w:r>
      <w:bookmarkEnd w:id="29"/>
    </w:p>
    <w:p w14:paraId="0E53CEEE" w14:textId="77777777" w:rsidR="00B63AAA" w:rsidRDefault="00B63AAA">
      <w:pPr>
        <w:sectPr w:rsidR="00B63AAA">
          <w:type w:val="continuous"/>
          <w:pgSz w:w="11905" w:h="16837"/>
          <w:pgMar w:top="1440" w:right="1440" w:bottom="1440" w:left="1440" w:header="720" w:footer="720" w:gutter="0"/>
          <w:cols w:space="720"/>
        </w:sectPr>
      </w:pPr>
    </w:p>
    <w:p w14:paraId="0E53CEEF" w14:textId="77777777" w:rsidR="00B63AAA" w:rsidRDefault="00B63AAA"/>
    <w:p w14:paraId="0E53CEF0" w14:textId="77777777" w:rsidR="00B63AAA" w:rsidRDefault="00911C9C">
      <w:pPr>
        <w:pStyle w:val="Naslov2"/>
      </w:pPr>
      <w:bookmarkStart w:id="30" w:name="_Toc31"/>
      <w:r>
        <w:t>Spremljanje in zagotavljanje kakovosti pedagoškega procesa - Na ravni posameznih predmetov oz. učnih enot</w:t>
      </w:r>
      <w:bookmarkEnd w:id="30"/>
    </w:p>
    <w:p w14:paraId="0E53CEF1" w14:textId="77777777" w:rsidR="00B63AAA" w:rsidRDefault="00911C9C">
      <w:r>
        <w:t>Kako spremljate in zagotavljate kakovost pedagoškega procesa na ravni posameznih predmetov oz. učnih enot?</w:t>
      </w:r>
    </w:p>
    <w:tbl>
      <w:tblPr>
        <w:tblStyle w:val="box"/>
        <w:tblW w:w="0" w:type="auto"/>
        <w:tblInd w:w="50" w:type="dxa"/>
        <w:tblLook w:val="04A0" w:firstRow="1" w:lastRow="0" w:firstColumn="1" w:lastColumn="0" w:noHBand="0" w:noVBand="1"/>
      </w:tblPr>
      <w:tblGrid>
        <w:gridCol w:w="9075"/>
      </w:tblGrid>
      <w:tr w:rsidR="00B63AAA" w14:paraId="0E53CEF3" w14:textId="77777777">
        <w:trPr>
          <w:trHeight w:val="800"/>
        </w:trPr>
        <w:tc>
          <w:tcPr>
            <w:tcW w:w="10000" w:type="dxa"/>
          </w:tcPr>
          <w:p w14:paraId="0E53CEF2" w14:textId="77777777" w:rsidR="00B63AAA" w:rsidRDefault="00911C9C">
            <w:r>
              <w:t>Izvajalci študijskega programa so habilitirani visokošolski učitelji, ki so aktivni raziskovalci na svojih področjih. S tem je strokovna usposobljenost izvajalcev zagotovljena. Zaradi majhnega števila študentov statistični kazalniki iz anket niso najbolj merodajen vir povratne informacije. Veliko bolj zanesljiv vir so pogovori s študenti in njihovimi mentorji. Iz številnih pogovorov izhaja, da so študenti zadovoljni z jedrnim delom študijskega programa, torej z izvajanjem obveznih predmetov v prvih dveh let</w:t>
            </w:r>
            <w:r>
              <w:t xml:space="preserve">nikih študija. Izbirni predmeti se praviloma izvajajo s konzultacijami, kjer se lahko izvajalci prilagodijo raziskovalnim interesom študentov. Ankete, tudi če niso povsem merodajne, kažejo razmeroma visoke ocene za program. Dodatni vir povratne informacije so koordinatorji posameznih modulov študijskega </w:t>
            </w:r>
            <w:r>
              <w:lastRenderedPageBreak/>
              <w:t>programa, ki bolj poznajo članice izvajalke programa in spremljajo doktorske študente v svojih modulih.</w:t>
            </w:r>
          </w:p>
        </w:tc>
      </w:tr>
    </w:tbl>
    <w:p w14:paraId="0E53CEF4" w14:textId="77777777" w:rsidR="00B63AAA" w:rsidRDefault="00B63AAA">
      <w:pPr>
        <w:sectPr w:rsidR="00B63AAA">
          <w:type w:val="continuous"/>
          <w:pgSz w:w="11905" w:h="16837"/>
          <w:pgMar w:top="1440" w:right="1440" w:bottom="1440" w:left="1440" w:header="720" w:footer="720" w:gutter="0"/>
          <w:cols w:space="720"/>
        </w:sectPr>
      </w:pPr>
    </w:p>
    <w:p w14:paraId="0E53CEF5" w14:textId="77777777" w:rsidR="00B63AAA" w:rsidRDefault="00B63AAA"/>
    <w:p w14:paraId="0E53CEF6" w14:textId="77777777" w:rsidR="00B63AAA" w:rsidRDefault="00911C9C">
      <w:pPr>
        <w:pStyle w:val="Naslov2"/>
      </w:pPr>
      <w:bookmarkStart w:id="31" w:name="_Toc32"/>
      <w:r>
        <w:t>Spremljanje in zagotavljanje kakovosti pedagoškega procesa - Medpredmetno povezovanje</w:t>
      </w:r>
      <w:bookmarkEnd w:id="31"/>
    </w:p>
    <w:p w14:paraId="0E53CEF7" w14:textId="77777777" w:rsidR="00B63AAA" w:rsidRDefault="00911C9C">
      <w:r>
        <w:t>Kako zagotavljate povezovanje med posameznimi predmeti oz. učnimi enotami (medpredmetno povezovanje)?</w:t>
      </w:r>
    </w:p>
    <w:tbl>
      <w:tblPr>
        <w:tblStyle w:val="box"/>
        <w:tblW w:w="0" w:type="auto"/>
        <w:tblInd w:w="50" w:type="dxa"/>
        <w:tblLook w:val="04A0" w:firstRow="1" w:lastRow="0" w:firstColumn="1" w:lastColumn="0" w:noHBand="0" w:noVBand="1"/>
      </w:tblPr>
      <w:tblGrid>
        <w:gridCol w:w="9075"/>
      </w:tblGrid>
      <w:tr w:rsidR="00B63AAA" w14:paraId="0E53CEF9" w14:textId="77777777">
        <w:trPr>
          <w:trHeight w:val="800"/>
        </w:trPr>
        <w:tc>
          <w:tcPr>
            <w:tcW w:w="10000" w:type="dxa"/>
          </w:tcPr>
          <w:p w14:paraId="0E53CEF8" w14:textId="77777777" w:rsidR="00B63AAA" w:rsidRDefault="00911C9C">
            <w:r>
              <w:t>Jedrni predmeti v prvih dveh letih študija so osnova za razvoj in uporabe statističnih metod. Tako ti jedrni predmeti zagotavljajo skupni imenovalec za vse ostale bolj specifične predmete, ki jih izberejo študenti in so s tem najbolj povezovalni predmeti v študiju. Ko gre za bolj specifične raziskovalne smeri, pa so mentorji tisti, ki študentom svetujejo pri izbiri predmetov, ki so povezani z njihovim raziskovalnim delom ali predvidenim raziskovalnim delom. Medpredmetno povezovanje je tako zagotovljeno na o</w:t>
            </w:r>
            <w:r>
              <w:t>snovi raziskovalnega dela, ki narekuje ustrezno izbiro predmetov, ki se dopolnjujejo.</w:t>
            </w:r>
          </w:p>
        </w:tc>
      </w:tr>
    </w:tbl>
    <w:p w14:paraId="0E53CEFA" w14:textId="77777777" w:rsidR="00B63AAA" w:rsidRDefault="00B63AAA">
      <w:pPr>
        <w:sectPr w:rsidR="00B63AAA">
          <w:type w:val="continuous"/>
          <w:pgSz w:w="11905" w:h="16837"/>
          <w:pgMar w:top="1440" w:right="1440" w:bottom="1440" w:left="1440" w:header="720" w:footer="720" w:gutter="0"/>
          <w:cols w:space="720"/>
        </w:sectPr>
      </w:pPr>
    </w:p>
    <w:p w14:paraId="0E53CEFB" w14:textId="77777777" w:rsidR="00B63AAA" w:rsidRDefault="00B63AAA"/>
    <w:p w14:paraId="0E53CEFC" w14:textId="77777777" w:rsidR="00B63AAA" w:rsidRDefault="00911C9C">
      <w:pPr>
        <w:pStyle w:val="Naslov2"/>
      </w:pPr>
      <w:bookmarkStart w:id="32" w:name="_Toc33"/>
      <w:r>
        <w:t>Spremljanje in zagotavljanje kakovosti pedagoškega procesa - Prilagoditev načinov učenja in poučevanja ter preverjanja znanja pričakovanim kompetencam</w:t>
      </w:r>
      <w:bookmarkEnd w:id="32"/>
    </w:p>
    <w:p w14:paraId="0E53CEFD" w14:textId="77777777" w:rsidR="00B63AAA" w:rsidRDefault="00911C9C">
      <w:r>
        <w:t>Ali načine učenja in poučevanja ter preverjanja znanja prilagajate pričakovanim kompetencam? Če da, kako?</w:t>
      </w:r>
    </w:p>
    <w:tbl>
      <w:tblPr>
        <w:tblStyle w:val="box"/>
        <w:tblW w:w="0" w:type="auto"/>
        <w:tblInd w:w="50" w:type="dxa"/>
        <w:tblLook w:val="04A0" w:firstRow="1" w:lastRow="0" w:firstColumn="1" w:lastColumn="0" w:noHBand="0" w:noVBand="1"/>
      </w:tblPr>
      <w:tblGrid>
        <w:gridCol w:w="9075"/>
      </w:tblGrid>
      <w:tr w:rsidR="00B63AAA" w14:paraId="0E53CEFF" w14:textId="77777777">
        <w:trPr>
          <w:trHeight w:val="800"/>
        </w:trPr>
        <w:tc>
          <w:tcPr>
            <w:tcW w:w="10000" w:type="dxa"/>
          </w:tcPr>
          <w:p w14:paraId="0E53CEFE" w14:textId="77777777" w:rsidR="00B63AAA" w:rsidRDefault="00911C9C">
            <w:r>
              <w:t>Jedrni predmeti so osnova za kompetentnost in profesionalnost doktorandov. Predmeti v prvem letniku študijskega programa so prilagojeni temu, da so predhodne izobrazbe študentov različne in je potreben sistematski in poglobljen pregled temeljnih znanj in konceptov. V tem smislu je vsebina jedrnih tečajev osnova za kasnejše kompetence. Pri izbirnih predmetih pa je naloga izvajalcev in mentorjev, da študente usmerijo pri izbiri predmetov na način, ki bo najbolj koristen za raziskovalno delo in njihove kasnejš</w:t>
            </w:r>
            <w:r>
              <w:t>e kompetence. Izrazito individualni pristop omogoča fleksibilnost in prilagodljivost pedagoškega procesa.</w:t>
            </w:r>
          </w:p>
        </w:tc>
      </w:tr>
    </w:tbl>
    <w:p w14:paraId="0E53CF00" w14:textId="77777777" w:rsidR="00B63AAA" w:rsidRDefault="00B63AAA">
      <w:pPr>
        <w:sectPr w:rsidR="00B63AAA">
          <w:type w:val="continuous"/>
          <w:pgSz w:w="11905" w:h="16837"/>
          <w:pgMar w:top="1440" w:right="1440" w:bottom="1440" w:left="1440" w:header="720" w:footer="720" w:gutter="0"/>
          <w:cols w:space="720"/>
        </w:sectPr>
      </w:pPr>
    </w:p>
    <w:p w14:paraId="0E53CF01" w14:textId="77777777" w:rsidR="00B63AAA" w:rsidRDefault="00B63AAA"/>
    <w:p w14:paraId="0E53CF02" w14:textId="77777777" w:rsidR="00B63AAA" w:rsidRDefault="00911C9C">
      <w:pPr>
        <w:pStyle w:val="Naslov2"/>
      </w:pPr>
      <w:bookmarkStart w:id="33" w:name="_Toc34"/>
      <w:r>
        <w:t>Spremljanje in zagotavljanje kakovosti pedagoškega procesa - Obremenitev študentov</w:t>
      </w:r>
      <w:bookmarkEnd w:id="33"/>
    </w:p>
    <w:p w14:paraId="0E53CF03" w14:textId="77777777" w:rsidR="00B63AAA" w:rsidRDefault="00911C9C">
      <w:r>
        <w:t>Kako spremljate in zagotavljate ustrezno obremenitev študentov glede na ovrednotenje po ECTS*?</w:t>
      </w:r>
    </w:p>
    <w:p w14:paraId="0E53CF04" w14:textId="77777777" w:rsidR="00B63AAA" w:rsidRDefault="00911C9C">
      <w:r>
        <w:t>*Če rezultati študentske ankete pri predmetu pokažejo bistveno odstopanje od predvidene obremenitve s KT po ECTS, predlagamo, da dodatno ugotovite ustreznost ovrednotenja predmeta. Pri tem vam je lahko v pomoč naslednji pristop: »</w:t>
      </w:r>
      <w:hyperlink r:id="rId13" w:history="1">
        <w:r>
          <w:t>STUDENT WORKLOAD, TEACHING METHODS AND LEARNING OUTCOMES: THE TUNING APPROACH</w:t>
        </w:r>
      </w:hyperlink>
      <w:r>
        <w:t xml:space="preserve">«. </w:t>
      </w:r>
    </w:p>
    <w:p w14:paraId="0E53CF05" w14:textId="77777777" w:rsidR="00B63AAA" w:rsidRDefault="00911C9C">
      <w:r>
        <w:rPr>
          <w:i/>
          <w:iCs/>
        </w:rPr>
        <w:t xml:space="preserve">Pri interpretaciji rezultatov iz študentskih anket bodite pozorni. Ocene porabe ur so merjene na lestvici 1-5, vendar </w:t>
      </w:r>
      <w:r>
        <w:rPr>
          <w:b/>
          <w:bCs/>
          <w:i/>
          <w:iCs/>
        </w:rPr>
        <w:t>optimalna vrednost ni 5.0, ampak 3.0</w:t>
      </w:r>
      <w:r>
        <w:rPr>
          <w:i/>
          <w:iCs/>
        </w:rPr>
        <w:t xml:space="preserve">. Gre za odgovore na </w:t>
      </w:r>
      <w:r>
        <w:rPr>
          <w:i/>
          <w:iCs/>
        </w:rPr>
        <w:lastRenderedPageBreak/>
        <w:t>vprašanje, ali so študenti (glede na kreditne točke) porabili predvideno število ur, in sicer: (1) veliko manj, (2) nekoliko manj, (3) predvideno, (4) nekoliko več, (5) veliko več.</w:t>
      </w:r>
    </w:p>
    <w:tbl>
      <w:tblPr>
        <w:tblStyle w:val="box"/>
        <w:tblW w:w="0" w:type="auto"/>
        <w:tblInd w:w="50" w:type="dxa"/>
        <w:tblLook w:val="04A0" w:firstRow="1" w:lastRow="0" w:firstColumn="1" w:lastColumn="0" w:noHBand="0" w:noVBand="1"/>
      </w:tblPr>
      <w:tblGrid>
        <w:gridCol w:w="9075"/>
      </w:tblGrid>
      <w:tr w:rsidR="00B63AAA" w14:paraId="0E53CF07" w14:textId="77777777">
        <w:trPr>
          <w:trHeight w:val="800"/>
        </w:trPr>
        <w:tc>
          <w:tcPr>
            <w:tcW w:w="10000" w:type="dxa"/>
          </w:tcPr>
          <w:p w14:paraId="0E53CF06" w14:textId="77777777" w:rsidR="00B63AAA" w:rsidRDefault="00911C9C">
            <w:r>
              <w:t>Iz razgovorov s študenti izhaja, da občutijo prva dva letnika kot nekoliko bolj naporna, vendar je časovna zahtevnost ustrezno odmerjena. Posebej v kasnejših letnikih je odziv, da so predmeti v prvih dveh letnikih morda nekoliko časovno zahtevnejši, vendar zelo koristni za nadaljnji študij. V kasnejših letnikih je organiziranih obveznosti malo in je spremljanje raziskovalnega dela študentov prepuščeno mentorjem in komisijam za spremljanje doktorskih študentov. Večinoma je odziv študentov, da je raziskovalno</w:t>
            </w:r>
            <w:r>
              <w:t xml:space="preserve"> delo zahtevno samo po sebi in se izvajanja ne da meriti v porabljenih urah.</w:t>
            </w:r>
          </w:p>
        </w:tc>
      </w:tr>
    </w:tbl>
    <w:p w14:paraId="0E53CF08" w14:textId="77777777" w:rsidR="00B63AAA" w:rsidRDefault="00B63AAA">
      <w:pPr>
        <w:sectPr w:rsidR="00B63AAA">
          <w:type w:val="continuous"/>
          <w:pgSz w:w="11905" w:h="16837"/>
          <w:pgMar w:top="1440" w:right="1440" w:bottom="1440" w:left="1440" w:header="720" w:footer="720" w:gutter="0"/>
          <w:cols w:space="720"/>
        </w:sectPr>
      </w:pPr>
    </w:p>
    <w:p w14:paraId="0E53CF09" w14:textId="77777777" w:rsidR="00B63AAA" w:rsidRDefault="00B63AAA"/>
    <w:p w14:paraId="0E53CF0A" w14:textId="77777777" w:rsidR="00B63AAA" w:rsidRDefault="00911C9C">
      <w:pPr>
        <w:pStyle w:val="Naslov2"/>
      </w:pPr>
      <w:bookmarkStart w:id="34" w:name="_Toc35"/>
      <w:r>
        <w:t>Spremljanje in zagotavljanje kakovosti pedagoškega procesa - Na študenta osredinjeno učenje in poučevanje</w:t>
      </w:r>
      <w:bookmarkEnd w:id="34"/>
    </w:p>
    <w:p w14:paraId="0E53CF0B" w14:textId="77777777" w:rsidR="00B63AAA" w:rsidRDefault="00911C9C">
      <w:r>
        <w:t xml:space="preserve">Ali spodbujate na študenta osredinjeno učenje in poučevanje*? Če da, kako? </w:t>
      </w:r>
    </w:p>
    <w:p w14:paraId="0E53CF0C" w14:textId="77777777" w:rsidR="00B63AAA" w:rsidRDefault="00911C9C">
      <w:r>
        <w:t>*Z</w:t>
      </w:r>
      <w:r>
        <w:rPr>
          <w:i/>
          <w:iCs/>
        </w:rPr>
        <w:t xml:space="preserve">a opredelitev pojma glejte točko 1.3 v </w:t>
      </w:r>
      <w:hyperlink r:id="rId14" w:history="1">
        <w:r>
          <w:t>dokumentu</w:t>
        </w:r>
      </w:hyperlink>
      <w:r>
        <w:rPr>
          <w:i/>
          <w:iCs/>
        </w:rPr>
        <w:t xml:space="preserve"> 1 ali </w:t>
      </w:r>
      <w:hyperlink r:id="rId15" w:history="1">
        <w:r>
          <w:t>dokument</w:t>
        </w:r>
      </w:hyperlink>
      <w:r>
        <w:rPr>
          <w:i/>
          <w:iCs/>
        </w:rPr>
        <w:t xml:space="preserve"> 2.</w:t>
      </w:r>
    </w:p>
    <w:tbl>
      <w:tblPr>
        <w:tblStyle w:val="box"/>
        <w:tblW w:w="0" w:type="auto"/>
        <w:tblInd w:w="50" w:type="dxa"/>
        <w:tblLook w:val="04A0" w:firstRow="1" w:lastRow="0" w:firstColumn="1" w:lastColumn="0" w:noHBand="0" w:noVBand="1"/>
      </w:tblPr>
      <w:tblGrid>
        <w:gridCol w:w="9075"/>
      </w:tblGrid>
      <w:tr w:rsidR="00B63AAA" w14:paraId="0E53CF0E" w14:textId="77777777">
        <w:trPr>
          <w:trHeight w:val="800"/>
        </w:trPr>
        <w:tc>
          <w:tcPr>
            <w:tcW w:w="10000" w:type="dxa"/>
          </w:tcPr>
          <w:p w14:paraId="0E53CF0D" w14:textId="77777777" w:rsidR="00B63AAA" w:rsidRDefault="00911C9C">
            <w:r>
              <w:t xml:space="preserve">Število študentov je majhno, zato je pristop pri študijskem programu izrazito individualen in s tem osredotočen na študenta, kar večinoma na splošno velja za doktorske študente. Na študenta osredotočeno učenje tako najbolj zagotavljajo mentorji, ki študenta spremljajo tako pri izbiri predmetov kot pri izbiri raziskovalnih tem.  </w:t>
            </w:r>
          </w:p>
        </w:tc>
      </w:tr>
    </w:tbl>
    <w:p w14:paraId="0E53CF0F" w14:textId="77777777" w:rsidR="00B63AAA" w:rsidRDefault="00B63AAA">
      <w:pPr>
        <w:sectPr w:rsidR="00B63AAA">
          <w:type w:val="continuous"/>
          <w:pgSz w:w="11905" w:h="16837"/>
          <w:pgMar w:top="1440" w:right="1440" w:bottom="1440" w:left="1440" w:header="720" w:footer="720" w:gutter="0"/>
          <w:cols w:space="720"/>
        </w:sectPr>
      </w:pPr>
    </w:p>
    <w:p w14:paraId="0E53CF10" w14:textId="77777777" w:rsidR="00B63AAA" w:rsidRDefault="00B63AAA"/>
    <w:p w14:paraId="0E53CF11" w14:textId="77777777" w:rsidR="00B63AAA" w:rsidRDefault="00911C9C">
      <w:pPr>
        <w:pStyle w:val="Naslov2"/>
      </w:pPr>
      <w:bookmarkStart w:id="35" w:name="_Toc36"/>
      <w:r>
        <w:t>Ocena oz. vrednotenje</w:t>
      </w:r>
      <w:bookmarkEnd w:id="35"/>
    </w:p>
    <w:p w14:paraId="0E53CF12" w14:textId="77777777" w:rsidR="00B63AAA" w:rsidRDefault="00911C9C">
      <w:r>
        <w:t xml:space="preserve">Ocenite učinke zgoraj navedenih elementov/aktivnosti na kakovost ŠP. </w:t>
      </w:r>
    </w:p>
    <w:p w14:paraId="0E53CF13" w14:textId="77777777" w:rsidR="00B63AAA" w:rsidRDefault="00911C9C">
      <w:r>
        <w:t xml:space="preserve">Oceno, če je le mogoče, podprite (npr. z navedbo učinka, z ugotovitvami, povratnimi informacijami, primeri uspešnega vpeljevanja aktivnosti). </w:t>
      </w:r>
    </w:p>
    <w:tbl>
      <w:tblPr>
        <w:tblStyle w:val="box"/>
        <w:tblW w:w="0" w:type="auto"/>
        <w:tblInd w:w="50" w:type="dxa"/>
        <w:tblLook w:val="04A0" w:firstRow="1" w:lastRow="0" w:firstColumn="1" w:lastColumn="0" w:noHBand="0" w:noVBand="1"/>
      </w:tblPr>
      <w:tblGrid>
        <w:gridCol w:w="9075"/>
      </w:tblGrid>
      <w:tr w:rsidR="00B63AAA" w14:paraId="0E53CF15" w14:textId="77777777">
        <w:trPr>
          <w:trHeight w:val="800"/>
        </w:trPr>
        <w:tc>
          <w:tcPr>
            <w:tcW w:w="10000" w:type="dxa"/>
          </w:tcPr>
          <w:p w14:paraId="0E53CF14" w14:textId="77777777" w:rsidR="00B63AAA" w:rsidRDefault="00911C9C">
            <w:r>
              <w:t xml:space="preserve">Individualno spremljanje študentov s strani izvajalcev jedrnih predmetov in mentorjev zagotavlja tako stalno spremljanje zadovoljnosti študentov kot tudi takojšnjo povratno informacijo o kvaliteti pedagoškega procesa.   </w:t>
            </w:r>
          </w:p>
        </w:tc>
      </w:tr>
    </w:tbl>
    <w:p w14:paraId="0E53CF16" w14:textId="77777777" w:rsidR="00B63AAA" w:rsidRDefault="00B63AAA">
      <w:pPr>
        <w:sectPr w:rsidR="00B63AAA">
          <w:type w:val="continuous"/>
          <w:pgSz w:w="11905" w:h="16837"/>
          <w:pgMar w:top="1440" w:right="1440" w:bottom="1440" w:left="1440" w:header="720" w:footer="720" w:gutter="0"/>
          <w:cols w:space="720"/>
        </w:sectPr>
      </w:pPr>
    </w:p>
    <w:p w14:paraId="0E53CF17" w14:textId="77777777" w:rsidR="00B63AAA" w:rsidRDefault="00B63AAA"/>
    <w:p w14:paraId="0E53CF18" w14:textId="77777777" w:rsidR="00B63AAA" w:rsidRDefault="00911C9C">
      <w:pPr>
        <w:pStyle w:val="Naslov2"/>
      </w:pPr>
      <w:bookmarkStart w:id="36" w:name="_Toc37"/>
      <w:r>
        <w:t>Priložnosti za izboljšave</w:t>
      </w:r>
      <w:bookmarkEnd w:id="36"/>
    </w:p>
    <w:p w14:paraId="0E53CF19" w14:textId="77777777" w:rsidR="00B63AAA" w:rsidRDefault="00911C9C">
      <w:r>
        <w:t>Kje vidite priložnosti za izboljšave oz. na kakšen način menite, da bi bilo smiselno naslavljati izzive ŠP z vidika SPREMLJANJA IN ZAGOTAVLJANJA KAKOVOSTI PEDAGOŠKEGA PROCESA?</w:t>
      </w:r>
    </w:p>
    <w:p w14:paraId="0E53CF1A" w14:textId="77777777" w:rsidR="00B63AAA" w:rsidRDefault="00911C9C">
      <w:r>
        <w:rPr>
          <w:i/>
          <w:iCs/>
        </w:rPr>
        <w:t xml:space="preserve">Zapisano bo prikazano v tabeli s predlogi izboljšav (zadnja tabela, drugi stolpec). </w:t>
      </w:r>
    </w:p>
    <w:p w14:paraId="0E53CF1B"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F1D" w14:textId="77777777">
        <w:trPr>
          <w:trHeight w:val="100"/>
        </w:trPr>
        <w:tc>
          <w:tcPr>
            <w:tcW w:w="10000" w:type="dxa"/>
          </w:tcPr>
          <w:p w14:paraId="0E53CF1C" w14:textId="77777777" w:rsidR="00B63AAA" w:rsidRDefault="00911C9C">
            <w:r>
              <w:t>Za to področje ni predvidenih ukrepov.</w:t>
            </w:r>
          </w:p>
        </w:tc>
      </w:tr>
    </w:tbl>
    <w:p w14:paraId="0E53CF1E" w14:textId="77777777" w:rsidR="00B63AAA" w:rsidRDefault="00B63AAA">
      <w:pPr>
        <w:sectPr w:rsidR="00B63AAA">
          <w:type w:val="continuous"/>
          <w:pgSz w:w="11905" w:h="16837"/>
          <w:pgMar w:top="1440" w:right="1440" w:bottom="1440" w:left="1440" w:header="720" w:footer="720" w:gutter="0"/>
          <w:cols w:space="720"/>
        </w:sectPr>
      </w:pPr>
    </w:p>
    <w:p w14:paraId="0E53CF1F" w14:textId="77777777" w:rsidR="00B63AAA" w:rsidRDefault="00B63AAA"/>
    <w:p w14:paraId="0E53CF20" w14:textId="77777777" w:rsidR="00B63AAA" w:rsidRDefault="00B63AAA"/>
    <w:p w14:paraId="0E53CF21" w14:textId="77777777" w:rsidR="00B63AAA" w:rsidRDefault="00911C9C">
      <w:pPr>
        <w:pStyle w:val="Naslov1"/>
      </w:pPr>
      <w:bookmarkStart w:id="37" w:name="_Toc38"/>
      <w:r>
        <w:lastRenderedPageBreak/>
        <w:t>5.c USPEŠNOST IN UČINKOVITOST ŠTUDIJA: Podpora za internacionalizacijo študija</w:t>
      </w:r>
      <w:bookmarkEnd w:id="37"/>
    </w:p>
    <w:p w14:paraId="0E53CF22" w14:textId="77777777" w:rsidR="00B63AAA" w:rsidRDefault="00B63AAA">
      <w:pPr>
        <w:sectPr w:rsidR="00B63AAA">
          <w:type w:val="continuous"/>
          <w:pgSz w:w="11905" w:h="16837"/>
          <w:pgMar w:top="1440" w:right="1440" w:bottom="1440" w:left="1440" w:header="720" w:footer="720" w:gutter="0"/>
          <w:cols w:space="720"/>
        </w:sectPr>
      </w:pPr>
    </w:p>
    <w:p w14:paraId="0E53CF23" w14:textId="77777777" w:rsidR="00B63AAA" w:rsidRDefault="00B63AAA"/>
    <w:p w14:paraId="0E53CF24" w14:textId="77777777" w:rsidR="00B63AAA" w:rsidRDefault="00911C9C">
      <w:pPr>
        <w:pStyle w:val="Naslov2"/>
      </w:pPr>
      <w:bookmarkStart w:id="38" w:name="_Toc39"/>
      <w:r>
        <w:t>Podpora za internacionalizacijo študija - Domači študenti</w:t>
      </w:r>
      <w:bookmarkEnd w:id="38"/>
    </w:p>
    <w:p w14:paraId="0E53CF25" w14:textId="77777777" w:rsidR="00B63AAA" w:rsidRDefault="00911C9C">
      <w:r>
        <w:t>Kako spodbujate domače študente ŠP za vključevanje in njihovo delovanje v mednarodnem prostoru (vključite tudi vidike internacionalizacije doma*)?</w:t>
      </w:r>
    </w:p>
    <w:p w14:paraId="0E53CF26" w14:textId="77777777" w:rsidR="00B63AAA" w:rsidRDefault="00911C9C">
      <w:r>
        <w:t xml:space="preserve">* </w:t>
      </w:r>
      <w:r>
        <w:rPr>
          <w:i/>
          <w:iCs/>
        </w:rPr>
        <w:t xml:space="preserve">Za opredelitev pojma glejte </w:t>
      </w:r>
      <w:hyperlink r:id="rId16" w:history="1">
        <w:r>
          <w:t>dokument</w:t>
        </w:r>
      </w:hyperlink>
      <w:r>
        <w:rPr>
          <w:i/>
          <w:iCs/>
        </w:rPr>
        <w:t>.</w:t>
      </w:r>
    </w:p>
    <w:tbl>
      <w:tblPr>
        <w:tblStyle w:val="box"/>
        <w:tblW w:w="0" w:type="auto"/>
        <w:tblInd w:w="50" w:type="dxa"/>
        <w:tblLook w:val="04A0" w:firstRow="1" w:lastRow="0" w:firstColumn="1" w:lastColumn="0" w:noHBand="0" w:noVBand="1"/>
      </w:tblPr>
      <w:tblGrid>
        <w:gridCol w:w="9075"/>
      </w:tblGrid>
      <w:tr w:rsidR="00B63AAA" w14:paraId="0E53CF28" w14:textId="77777777">
        <w:trPr>
          <w:trHeight w:val="800"/>
        </w:trPr>
        <w:tc>
          <w:tcPr>
            <w:tcW w:w="10000" w:type="dxa"/>
          </w:tcPr>
          <w:p w14:paraId="0E53CF27" w14:textId="77777777" w:rsidR="00B63AAA" w:rsidRDefault="00911C9C">
            <w:r>
              <w:t>Študenti so ob začetku študijskega leta obveščeni na spletnih straneh UL ter spletnih straneh študijskega programa, na katerih so objavljene informacije o aktualnih priložnostih zanje, podatke o razpisih za projekte, poletne šole in podobno pa prejmejo tudi preko e-sporočil neposredno iz Doktorske šole UL ali pa od posameznih članic, mentorjev in somentorjev. Mentorji spodbujajo študente k sodelovanju na različnih delavnicah ter konferencah, kjer predstavljajo svoje raziskave ter iščejo priložnosti za sodel</w:t>
            </w:r>
            <w:r>
              <w:t>ovanje. Slovenski statistiki organiziramo letno mednarodno konferenco Applied Statistics, ki ima že 20-letno tradicijo in na kateri sodelujejo tudi študenti našega študija. Polega tega vsako leto trije mladi statistiki (praviloma študenti našega študijskega programa) sodelujejo na konferenci mladih statistikov YSM petih držav (Slovenije, Avstrije, Italije, Madžarske in Hrvaške). Na Programskem svetu študijskega programa poteka razprava o tem, da bi obiske na mednarodnih dogodkih kreditno ovrednotili in s te</w:t>
            </w:r>
            <w:r>
              <w:t>m dali dodatno vzpodbudo študentom, da svoje raziskovalno delo predstavijo širši strokovni javnosti. V okviru predmeta Sodobni statistični pristopi se zvrsti vrsta predavateljev, od katerih je precej uglednih raziskovalcev iz tujine, tako da je internacionalizacija zagotovljena tudi znotraj samega pedagoškega procesa.</w:t>
            </w:r>
          </w:p>
        </w:tc>
      </w:tr>
    </w:tbl>
    <w:p w14:paraId="0E53CF29" w14:textId="77777777" w:rsidR="00B63AAA" w:rsidRDefault="00B63AAA">
      <w:pPr>
        <w:sectPr w:rsidR="00B63AAA">
          <w:type w:val="continuous"/>
          <w:pgSz w:w="11905" w:h="16837"/>
          <w:pgMar w:top="1440" w:right="1440" w:bottom="1440" w:left="1440" w:header="720" w:footer="720" w:gutter="0"/>
          <w:cols w:space="720"/>
        </w:sectPr>
      </w:pPr>
    </w:p>
    <w:p w14:paraId="0E53CF2A" w14:textId="77777777" w:rsidR="00B63AAA" w:rsidRDefault="00B63AAA"/>
    <w:p w14:paraId="0E53CF2B" w14:textId="77777777" w:rsidR="00B63AAA" w:rsidRDefault="00911C9C">
      <w:pPr>
        <w:pStyle w:val="Naslov2"/>
      </w:pPr>
      <w:bookmarkStart w:id="39" w:name="_Toc40"/>
      <w:r>
        <w:t>Podpora za internacionalizacijo študija - Tuji študenti</w:t>
      </w:r>
      <w:bookmarkEnd w:id="39"/>
    </w:p>
    <w:p w14:paraId="0E53CF2C" w14:textId="77777777" w:rsidR="00B63AAA" w:rsidRDefault="00911C9C">
      <w:r>
        <w:t>Kako vključujete tuje študente v ŠP?Opišite vidike vključevanja tako študentov na programih mobilnosti (Erasmus) kot tujih študentov, ki so vpisani v ŠP.</w:t>
      </w:r>
    </w:p>
    <w:p w14:paraId="0E53CF2D" w14:textId="77777777" w:rsidR="00B63AAA" w:rsidRDefault="00B63AAA"/>
    <w:tbl>
      <w:tblPr>
        <w:tblW w:w="5000" w:type="pct"/>
        <w:tblInd w:w="10" w:type="dxa"/>
        <w:tblCellMar>
          <w:left w:w="10" w:type="dxa"/>
          <w:right w:w="10" w:type="dxa"/>
        </w:tblCellMar>
        <w:tblLook w:val="0000" w:firstRow="0" w:lastRow="0" w:firstColumn="0" w:lastColumn="0" w:noHBand="0" w:noVBand="0"/>
      </w:tblPr>
      <w:tblGrid>
        <w:gridCol w:w="9045"/>
      </w:tblGrid>
      <w:tr w:rsidR="00B63AAA" w14:paraId="0E53CF70" w14:textId="77777777">
        <w:tblPrEx>
          <w:tblCellMar>
            <w:top w:w="0" w:type="dxa"/>
            <w:bottom w:w="0" w:type="dxa"/>
          </w:tblCellMar>
        </w:tblPrEx>
        <w:trPr>
          <w:cantSplit/>
        </w:trPr>
        <w:tc>
          <w:tcPr>
            <w:tcW w:w="0" w:type="auto"/>
          </w:tcPr>
          <w:p w14:paraId="0E53CF2E" w14:textId="77777777" w:rsidR="00B63AAA" w:rsidRDefault="00911C9C">
            <w:pPr>
              <w:jc w:val="center"/>
            </w:pPr>
            <w:r>
              <w:rPr>
                <w:b/>
                <w:bCs/>
                <w:sz w:val="20"/>
                <w:szCs w:val="20"/>
              </w:rPr>
              <w:t>Tabela 4: Število vpisanih mednarodnih študentov v letnik po letih in načinu študija ter delež tujih študentov od vseh vpisanih</w:t>
            </w:r>
          </w:p>
          <w:tbl>
            <w:tblPr>
              <w:tblW w:w="5000" w:type="pct"/>
              <w:tblCellMar>
                <w:left w:w="10" w:type="dxa"/>
                <w:right w:w="10" w:type="dxa"/>
              </w:tblCellMar>
              <w:tblLook w:val="0000" w:firstRow="0" w:lastRow="0" w:firstColumn="0" w:lastColumn="0" w:noHBand="0" w:noVBand="0"/>
            </w:tblPr>
            <w:tblGrid>
              <w:gridCol w:w="1699"/>
              <w:gridCol w:w="820"/>
              <w:gridCol w:w="1298"/>
              <w:gridCol w:w="1298"/>
              <w:gridCol w:w="1298"/>
              <w:gridCol w:w="1298"/>
              <w:gridCol w:w="1298"/>
            </w:tblGrid>
            <w:tr w:rsidR="00B63AAA" w14:paraId="0E53CF36" w14:textId="77777777">
              <w:tblPrEx>
                <w:tblCellMar>
                  <w:top w:w="0" w:type="dxa"/>
                  <w:bottom w:w="0" w:type="dxa"/>
                </w:tblCellMar>
              </w:tblPrEx>
              <w:tc>
                <w:tcPr>
                  <w:tcW w:w="0" w:type="auto"/>
                  <w:tcBorders>
                    <w:top w:val="single" w:sz="6" w:space="0" w:color="000000"/>
                    <w:left w:val="single" w:sz="6" w:space="0" w:color="FFFFFF"/>
                    <w:bottom w:val="single" w:sz="6" w:space="0" w:color="000000"/>
                    <w:right w:val="single" w:sz="6" w:space="0" w:color="FFFFFF"/>
                  </w:tcBorders>
                  <w:vAlign w:val="center"/>
                </w:tcPr>
                <w:p w14:paraId="0E53CF2F" w14:textId="77777777" w:rsidR="00B63AAA" w:rsidRDefault="00911C9C">
                  <w:pPr>
                    <w:spacing w:before="30" w:after="30"/>
                    <w:jc w:val="center"/>
                  </w:pPr>
                  <w:r>
                    <w:rPr>
                      <w:b/>
                      <w:bCs/>
                      <w:sz w:val="18"/>
                      <w:szCs w:val="18"/>
                    </w:rPr>
                    <w:t>Način študija</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0" w14:textId="77777777" w:rsidR="00B63AAA" w:rsidRDefault="00911C9C">
                  <w:pPr>
                    <w:spacing w:before="30" w:after="30"/>
                    <w:jc w:val="center"/>
                  </w:pPr>
                  <w:r>
                    <w:rPr>
                      <w:b/>
                      <w:bCs/>
                      <w:sz w:val="18"/>
                      <w:szCs w:val="18"/>
                    </w:rPr>
                    <w:t>Letnik</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1" w14:textId="77777777" w:rsidR="00B63AAA" w:rsidRDefault="00911C9C">
                  <w:pPr>
                    <w:spacing w:before="30" w:after="30"/>
                    <w:jc w:val="center"/>
                  </w:pPr>
                  <w:r>
                    <w:rPr>
                      <w:b/>
                      <w:bCs/>
                      <w:sz w:val="18"/>
                      <w:szCs w:val="18"/>
                    </w:rPr>
                    <w:t>2020/2021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2" w14:textId="77777777" w:rsidR="00B63AAA" w:rsidRDefault="00911C9C">
                  <w:pPr>
                    <w:spacing w:before="30" w:after="30"/>
                    <w:jc w:val="center"/>
                  </w:pPr>
                  <w:r>
                    <w:rPr>
                      <w:b/>
                      <w:bCs/>
                      <w:sz w:val="18"/>
                      <w:szCs w:val="18"/>
                    </w:rPr>
                    <w:t>2021/2022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3" w14:textId="77777777" w:rsidR="00B63AAA" w:rsidRDefault="00911C9C">
                  <w:pPr>
                    <w:spacing w:before="30" w:after="30"/>
                    <w:jc w:val="center"/>
                  </w:pPr>
                  <w:r>
                    <w:rPr>
                      <w:b/>
                      <w:bCs/>
                      <w:sz w:val="18"/>
                      <w:szCs w:val="18"/>
                    </w:rPr>
                    <w:t>2022/2023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4" w14:textId="77777777" w:rsidR="00B63AAA" w:rsidRDefault="00911C9C">
                  <w:pPr>
                    <w:spacing w:before="30" w:after="30"/>
                    <w:jc w:val="center"/>
                  </w:pPr>
                  <w:r>
                    <w:rPr>
                      <w:b/>
                      <w:bCs/>
                      <w:sz w:val="18"/>
                      <w:szCs w:val="18"/>
                    </w:rPr>
                    <w:t>2023/2024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5" w14:textId="77777777" w:rsidR="00B63AAA" w:rsidRDefault="00911C9C">
                  <w:pPr>
                    <w:spacing w:before="30" w:after="30"/>
                    <w:jc w:val="center"/>
                  </w:pPr>
                  <w:r>
                    <w:rPr>
                      <w:b/>
                      <w:bCs/>
                      <w:sz w:val="18"/>
                      <w:szCs w:val="18"/>
                    </w:rPr>
                    <w:t>2024/2025</w:t>
                  </w:r>
                </w:p>
              </w:tc>
            </w:tr>
            <w:tr w:rsidR="00B63AAA" w14:paraId="0E53CF3E" w14:textId="77777777">
              <w:tblPrEx>
                <w:tblCellMar>
                  <w:top w:w="0" w:type="dxa"/>
                  <w:bottom w:w="0" w:type="dxa"/>
                </w:tblCellMar>
              </w:tblPrEx>
              <w:tc>
                <w:tcPr>
                  <w:tcW w:w="0" w:type="auto"/>
                  <w:vMerge w:val="restart"/>
                  <w:tcBorders>
                    <w:top w:val="single" w:sz="6" w:space="0" w:color="000000"/>
                    <w:left w:val="single" w:sz="6" w:space="0" w:color="FFFFFF"/>
                    <w:bottom w:val="single" w:sz="6" w:space="0" w:color="000000"/>
                    <w:right w:val="single" w:sz="6" w:space="0" w:color="FFFFFF"/>
                  </w:tcBorders>
                  <w:vAlign w:val="center"/>
                </w:tcPr>
                <w:p w14:paraId="0E53CF37" w14:textId="77777777" w:rsidR="00B63AAA" w:rsidRDefault="00911C9C">
                  <w:pPr>
                    <w:spacing w:before="30" w:after="30"/>
                    <w:jc w:val="center"/>
                  </w:pPr>
                  <w:r>
                    <w:rPr>
                      <w:sz w:val="18"/>
                      <w:szCs w:val="18"/>
                    </w:rPr>
                    <w:t>IZREDNI</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8" w14:textId="77777777" w:rsidR="00B63AAA" w:rsidRDefault="00911C9C">
                  <w:pPr>
                    <w:spacing w:before="30" w:after="30"/>
                    <w:jc w:val="center"/>
                  </w:pPr>
                  <w:r>
                    <w:rPr>
                      <w:sz w:val="18"/>
                      <w:szCs w:val="18"/>
                    </w:rPr>
                    <w:t>01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9"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A" w14:textId="77777777" w:rsidR="00B63AAA" w:rsidRDefault="00911C9C">
                  <w:pPr>
                    <w:spacing w:before="30" w:after="30"/>
                    <w:jc w:val="center"/>
                  </w:pPr>
                  <w:r>
                    <w:rPr>
                      <w:sz w:val="18"/>
                      <w:szCs w:val="18"/>
                    </w:rPr>
                    <w:t>6</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B"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C"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3D" w14:textId="77777777" w:rsidR="00B63AAA" w:rsidRDefault="00911C9C">
                  <w:pPr>
                    <w:spacing w:before="30" w:after="30"/>
                    <w:jc w:val="center"/>
                  </w:pPr>
                  <w:r>
                    <w:rPr>
                      <w:sz w:val="18"/>
                      <w:szCs w:val="18"/>
                    </w:rPr>
                    <w:t>7</w:t>
                  </w:r>
                </w:p>
              </w:tc>
            </w:tr>
            <w:tr w:rsidR="00B63AAA" w14:paraId="0E53CF46"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F3F"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F40" w14:textId="77777777" w:rsidR="00B63AAA" w:rsidRDefault="00911C9C">
                  <w:pPr>
                    <w:spacing w:before="30" w:after="30"/>
                    <w:jc w:val="center"/>
                  </w:pPr>
                  <w:r>
                    <w:rPr>
                      <w:sz w:val="18"/>
                      <w:szCs w:val="18"/>
                    </w:rPr>
                    <w:t>02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1" w14:textId="77777777" w:rsidR="00B63AAA" w:rsidRDefault="00911C9C">
                  <w:pPr>
                    <w:spacing w:before="30" w:after="30"/>
                    <w:jc w:val="center"/>
                  </w:pPr>
                  <w:r>
                    <w:rPr>
                      <w:sz w:val="18"/>
                      <w:szCs w:val="18"/>
                    </w:rPr>
                    <w:t>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2"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3"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4" w14:textId="77777777" w:rsidR="00B63AAA" w:rsidRDefault="00911C9C">
                  <w:pPr>
                    <w:spacing w:before="30" w:after="30"/>
                    <w:jc w:val="center"/>
                  </w:pPr>
                  <w:r>
                    <w:rPr>
                      <w:sz w:val="18"/>
                      <w:szCs w:val="18"/>
                    </w:rPr>
                    <w:t>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5" w14:textId="77777777" w:rsidR="00B63AAA" w:rsidRDefault="00911C9C">
                  <w:pPr>
                    <w:spacing w:before="30" w:after="30"/>
                    <w:jc w:val="center"/>
                  </w:pPr>
                  <w:r>
                    <w:rPr>
                      <w:sz w:val="18"/>
                      <w:szCs w:val="18"/>
                    </w:rPr>
                    <w:t>1</w:t>
                  </w:r>
                </w:p>
              </w:tc>
            </w:tr>
            <w:tr w:rsidR="00B63AAA" w14:paraId="0E53CF4E"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F47"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F48" w14:textId="77777777" w:rsidR="00B63AAA" w:rsidRDefault="00911C9C">
                  <w:pPr>
                    <w:spacing w:before="30" w:after="30"/>
                    <w:jc w:val="center"/>
                  </w:pPr>
                  <w:r>
                    <w:rPr>
                      <w:sz w:val="18"/>
                      <w:szCs w:val="18"/>
                    </w:rPr>
                    <w:t>03</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9"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A"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B"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C"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4D" w14:textId="77777777" w:rsidR="00B63AAA" w:rsidRDefault="00911C9C">
                  <w:pPr>
                    <w:spacing w:before="30" w:after="30"/>
                    <w:jc w:val="center"/>
                  </w:pPr>
                  <w:r>
                    <w:rPr>
                      <w:sz w:val="18"/>
                      <w:szCs w:val="18"/>
                    </w:rPr>
                    <w:t>2</w:t>
                  </w:r>
                </w:p>
              </w:tc>
            </w:tr>
            <w:tr w:rsidR="00B63AAA" w14:paraId="0E53CF56"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F4F"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F50" w14:textId="77777777" w:rsidR="00B63AAA" w:rsidRDefault="00911C9C">
                  <w:pPr>
                    <w:spacing w:before="30" w:after="30"/>
                    <w:jc w:val="center"/>
                  </w:pPr>
                  <w:r>
                    <w:rPr>
                      <w:sz w:val="18"/>
                      <w:szCs w:val="18"/>
                    </w:rPr>
                    <w:t>04</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1" w14:textId="77777777" w:rsidR="00B63AAA" w:rsidRDefault="00911C9C">
                  <w:pPr>
                    <w:spacing w:before="30" w:after="30"/>
                    <w:jc w:val="center"/>
                  </w:pPr>
                  <w:r>
                    <w:rPr>
                      <w:sz w:val="18"/>
                      <w:szCs w:val="18"/>
                    </w:rPr>
                    <w:t>0</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2" w14:textId="77777777" w:rsidR="00B63AAA" w:rsidRDefault="00911C9C">
                  <w:pPr>
                    <w:spacing w:before="30" w:after="30"/>
                    <w:jc w:val="center"/>
                  </w:pPr>
                  <w:r>
                    <w:rPr>
                      <w:sz w:val="18"/>
                      <w:szCs w:val="18"/>
                    </w:rPr>
                    <w:t>0</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3" w14:textId="77777777" w:rsidR="00B63AAA" w:rsidRDefault="00911C9C">
                  <w:pPr>
                    <w:spacing w:before="30" w:after="30"/>
                    <w:jc w:val="center"/>
                  </w:pPr>
                  <w:r>
                    <w:rPr>
                      <w:sz w:val="18"/>
                      <w:szCs w:val="18"/>
                    </w:rPr>
                    <w:t>0</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4" w14:textId="77777777" w:rsidR="00B63AAA" w:rsidRDefault="00911C9C">
                  <w:pPr>
                    <w:spacing w:before="30" w:after="30"/>
                    <w:jc w:val="center"/>
                  </w:pPr>
                  <w:r>
                    <w:rPr>
                      <w:sz w:val="18"/>
                      <w:szCs w:val="18"/>
                    </w:rPr>
                    <w:t>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5" w14:textId="77777777" w:rsidR="00B63AAA" w:rsidRDefault="00911C9C">
                  <w:pPr>
                    <w:spacing w:before="30" w:after="30"/>
                    <w:jc w:val="center"/>
                  </w:pPr>
                  <w:r>
                    <w:rPr>
                      <w:sz w:val="18"/>
                      <w:szCs w:val="18"/>
                    </w:rPr>
                    <w:t>1</w:t>
                  </w:r>
                </w:p>
              </w:tc>
            </w:tr>
            <w:tr w:rsidR="00B63AAA" w14:paraId="0E53CF5E"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F57"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F58" w14:textId="77777777" w:rsidR="00B63AAA" w:rsidRDefault="00911C9C">
                  <w:pPr>
                    <w:spacing w:before="30" w:after="30"/>
                    <w:jc w:val="center"/>
                  </w:pPr>
                  <w:r>
                    <w:rPr>
                      <w:sz w:val="18"/>
                      <w:szCs w:val="18"/>
                    </w:rPr>
                    <w:t>0A</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9" w14:textId="77777777" w:rsidR="00B63AAA" w:rsidRDefault="00911C9C">
                  <w:pPr>
                    <w:spacing w:before="30" w:after="30"/>
                    <w:jc w:val="center"/>
                  </w:pPr>
                  <w:r>
                    <w:rPr>
                      <w:sz w:val="18"/>
                      <w:szCs w:val="18"/>
                    </w:rPr>
                    <w:t>1</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A"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B" w14:textId="77777777" w:rsidR="00B63AAA" w:rsidRDefault="00911C9C">
                  <w:pPr>
                    <w:spacing w:before="30" w:after="30"/>
                    <w:jc w:val="center"/>
                  </w:pPr>
                  <w:r>
                    <w:rPr>
                      <w:sz w:val="18"/>
                      <w:szCs w:val="18"/>
                    </w:rPr>
                    <w:t>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C" w14:textId="77777777" w:rsidR="00B63AAA" w:rsidRDefault="00911C9C">
                  <w:pPr>
                    <w:spacing w:before="30" w:after="30"/>
                    <w:jc w:val="center"/>
                  </w:pPr>
                  <w:r>
                    <w:rPr>
                      <w:sz w:val="18"/>
                      <w:szCs w:val="18"/>
                    </w:rPr>
                    <w:t>0</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5D" w14:textId="77777777" w:rsidR="00B63AAA" w:rsidRDefault="00911C9C">
                  <w:pPr>
                    <w:spacing w:before="30" w:after="30"/>
                    <w:jc w:val="center"/>
                  </w:pPr>
                  <w:r>
                    <w:rPr>
                      <w:sz w:val="18"/>
                      <w:szCs w:val="18"/>
                    </w:rPr>
                    <w:t>1</w:t>
                  </w:r>
                </w:p>
              </w:tc>
            </w:tr>
            <w:tr w:rsidR="00B63AAA" w14:paraId="0E53CF66"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F5F"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F60" w14:textId="77777777" w:rsidR="00B63AAA" w:rsidRDefault="00911C9C">
                  <w:pPr>
                    <w:spacing w:before="30" w:after="30"/>
                    <w:jc w:val="center"/>
                  </w:pPr>
                  <w:r>
                    <w:rPr>
                      <w:sz w:val="18"/>
                      <w:szCs w:val="18"/>
                    </w:rPr>
                    <w:t>Vsota</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1" w14:textId="77777777" w:rsidR="00B63AAA" w:rsidRDefault="00911C9C">
                  <w:pPr>
                    <w:spacing w:before="30" w:after="30"/>
                    <w:jc w:val="center"/>
                  </w:pPr>
                  <w:r>
                    <w:rPr>
                      <w:sz w:val="18"/>
                      <w:szCs w:val="18"/>
                    </w:rPr>
                    <w:t>8</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2" w14:textId="77777777" w:rsidR="00B63AAA" w:rsidRDefault="00911C9C">
                  <w:pPr>
                    <w:spacing w:before="30" w:after="30"/>
                    <w:jc w:val="center"/>
                  </w:pPr>
                  <w:r>
                    <w:rPr>
                      <w:sz w:val="18"/>
                      <w:szCs w:val="18"/>
                    </w:rPr>
                    <w:t>12</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3" w14:textId="77777777" w:rsidR="00B63AAA" w:rsidRDefault="00911C9C">
                  <w:pPr>
                    <w:spacing w:before="30" w:after="30"/>
                    <w:jc w:val="center"/>
                  </w:pPr>
                  <w:r>
                    <w:rPr>
                      <w:sz w:val="18"/>
                      <w:szCs w:val="18"/>
                    </w:rPr>
                    <w:t>8</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4" w14:textId="77777777" w:rsidR="00B63AAA" w:rsidRDefault="00911C9C">
                  <w:pPr>
                    <w:spacing w:before="30" w:after="30"/>
                    <w:jc w:val="center"/>
                  </w:pPr>
                  <w:r>
                    <w:rPr>
                      <w:sz w:val="18"/>
                      <w:szCs w:val="18"/>
                    </w:rPr>
                    <w:t>6</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5" w14:textId="77777777" w:rsidR="00B63AAA" w:rsidRDefault="00911C9C">
                  <w:pPr>
                    <w:spacing w:before="30" w:after="30"/>
                    <w:jc w:val="center"/>
                  </w:pPr>
                  <w:r>
                    <w:rPr>
                      <w:sz w:val="18"/>
                      <w:szCs w:val="18"/>
                    </w:rPr>
                    <w:t>12</w:t>
                  </w:r>
                </w:p>
              </w:tc>
            </w:tr>
            <w:tr w:rsidR="00B63AAA" w14:paraId="0E53CF6E" w14:textId="77777777">
              <w:tblPrEx>
                <w:tblCellMar>
                  <w:top w:w="0" w:type="dxa"/>
                  <w:bottom w:w="0" w:type="dxa"/>
                </w:tblCellMar>
              </w:tblPrEx>
              <w:tc>
                <w:tcPr>
                  <w:tcW w:w="0" w:type="auto"/>
                  <w:vMerge/>
                  <w:tcBorders>
                    <w:top w:val="single" w:sz="6" w:space="0" w:color="000000"/>
                    <w:left w:val="single" w:sz="6" w:space="0" w:color="FFFFFF"/>
                    <w:bottom w:val="single" w:sz="6" w:space="0" w:color="000000"/>
                    <w:right w:val="single" w:sz="6" w:space="0" w:color="FFFFFF"/>
                  </w:tcBorders>
                  <w:vAlign w:val="center"/>
                </w:tcPr>
                <w:p w14:paraId="0E53CF67" w14:textId="77777777" w:rsidR="00B63AAA" w:rsidRDefault="00B63AAA"/>
              </w:tc>
              <w:tc>
                <w:tcPr>
                  <w:tcW w:w="0" w:type="auto"/>
                  <w:tcBorders>
                    <w:top w:val="single" w:sz="6" w:space="0" w:color="000000"/>
                    <w:left w:val="single" w:sz="6" w:space="0" w:color="FFFFFF"/>
                    <w:bottom w:val="single" w:sz="6" w:space="0" w:color="000000"/>
                    <w:right w:val="single" w:sz="6" w:space="0" w:color="FFFFFF"/>
                  </w:tcBorders>
                  <w:vAlign w:val="center"/>
                </w:tcPr>
                <w:p w14:paraId="0E53CF68" w14:textId="77777777" w:rsidR="00B63AAA" w:rsidRDefault="00911C9C">
                  <w:pPr>
                    <w:spacing w:before="30" w:after="30"/>
                    <w:jc w:val="center"/>
                  </w:pPr>
                  <w:r>
                    <w:rPr>
                      <w:sz w:val="18"/>
                      <w:szCs w:val="18"/>
                    </w:rPr>
                    <w:t>Delež</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9" w14:textId="77777777" w:rsidR="00B63AAA" w:rsidRDefault="00911C9C">
                  <w:pPr>
                    <w:spacing w:before="30" w:after="30"/>
                    <w:jc w:val="center"/>
                  </w:pPr>
                  <w:r>
                    <w:rPr>
                      <w:sz w:val="18"/>
                      <w:szCs w:val="18"/>
                    </w:rPr>
                    <w:t>28,6 %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A" w14:textId="77777777" w:rsidR="00B63AAA" w:rsidRDefault="00911C9C">
                  <w:pPr>
                    <w:spacing w:before="30" w:after="30"/>
                    <w:jc w:val="center"/>
                  </w:pPr>
                  <w:r>
                    <w:rPr>
                      <w:sz w:val="18"/>
                      <w:szCs w:val="18"/>
                    </w:rPr>
                    <w:t>36,4 %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B" w14:textId="77777777" w:rsidR="00B63AAA" w:rsidRDefault="00911C9C">
                  <w:pPr>
                    <w:spacing w:before="30" w:after="30"/>
                    <w:jc w:val="center"/>
                  </w:pPr>
                  <w:r>
                    <w:rPr>
                      <w:sz w:val="18"/>
                      <w:szCs w:val="18"/>
                    </w:rPr>
                    <w:t>28,6 %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C" w14:textId="77777777" w:rsidR="00B63AAA" w:rsidRDefault="00911C9C">
                  <w:pPr>
                    <w:spacing w:before="30" w:after="30"/>
                    <w:jc w:val="center"/>
                  </w:pPr>
                  <w:r>
                    <w:rPr>
                      <w:sz w:val="18"/>
                      <w:szCs w:val="18"/>
                    </w:rPr>
                    <w:t>28,6 %</w:t>
                  </w:r>
                </w:p>
              </w:tc>
              <w:tc>
                <w:tcPr>
                  <w:tcW w:w="0" w:type="auto"/>
                  <w:tcBorders>
                    <w:top w:val="single" w:sz="6" w:space="0" w:color="000000"/>
                    <w:left w:val="single" w:sz="6" w:space="0" w:color="FFFFFF"/>
                    <w:bottom w:val="single" w:sz="6" w:space="0" w:color="000000"/>
                    <w:right w:val="single" w:sz="6" w:space="0" w:color="FFFFFF"/>
                  </w:tcBorders>
                  <w:vAlign w:val="center"/>
                </w:tcPr>
                <w:p w14:paraId="0E53CF6D" w14:textId="77777777" w:rsidR="00B63AAA" w:rsidRDefault="00911C9C">
                  <w:pPr>
                    <w:spacing w:before="30" w:after="30"/>
                    <w:jc w:val="center"/>
                  </w:pPr>
                  <w:r>
                    <w:rPr>
                      <w:sz w:val="18"/>
                      <w:szCs w:val="18"/>
                    </w:rPr>
                    <w:t>44,4 %</w:t>
                  </w:r>
                </w:p>
              </w:tc>
            </w:tr>
          </w:tbl>
          <w:p w14:paraId="0E53CF6F" w14:textId="77777777" w:rsidR="00B63AAA" w:rsidRDefault="00B63AAA"/>
        </w:tc>
      </w:tr>
    </w:tbl>
    <w:p w14:paraId="0E53CF71" w14:textId="77777777" w:rsidR="00B63AAA" w:rsidRDefault="00B63AAA"/>
    <w:tbl>
      <w:tblPr>
        <w:tblStyle w:val="box"/>
        <w:tblW w:w="0" w:type="auto"/>
        <w:tblInd w:w="50" w:type="dxa"/>
        <w:tblLook w:val="04A0" w:firstRow="1" w:lastRow="0" w:firstColumn="1" w:lastColumn="0" w:noHBand="0" w:noVBand="1"/>
      </w:tblPr>
      <w:tblGrid>
        <w:gridCol w:w="9075"/>
      </w:tblGrid>
      <w:tr w:rsidR="00B63AAA" w14:paraId="0E53CF73" w14:textId="77777777">
        <w:trPr>
          <w:trHeight w:val="800"/>
        </w:trPr>
        <w:tc>
          <w:tcPr>
            <w:tcW w:w="10000" w:type="dxa"/>
          </w:tcPr>
          <w:p w14:paraId="0E53CF72" w14:textId="77777777" w:rsidR="00B63AAA" w:rsidRDefault="00911C9C">
            <w:r>
              <w:lastRenderedPageBreak/>
              <w:t>Študijski program poteka v celoti v angleškem jeziku, tako da so tuji študenti v program vključeni na enak način kot ostali. Tujim študentom je treba nekaj bolj svetovati pri administrativnih postopkih, ki so vezani na slovenščino, kot je recimo oddaja dispozicije doktorske disertacije. Na doktorskem nivoju so Erasmus izmenjave redke in v tem študijskem programu še nismo imeli takšnih izmenjav, z izjemo tega, da so predmete na študiju izbrali Erasmus študenti 2. stopnje. Glede na izrazito individualno sprem</w:t>
            </w:r>
            <w:r>
              <w:t>ljanje tujih študentov se vprašanje njihovega vključevanja  študentov ne postavlja v takšni meri.</w:t>
            </w:r>
          </w:p>
        </w:tc>
      </w:tr>
    </w:tbl>
    <w:p w14:paraId="0E53CF74" w14:textId="77777777" w:rsidR="00B63AAA" w:rsidRDefault="00B63AAA">
      <w:pPr>
        <w:sectPr w:rsidR="00B63AAA">
          <w:type w:val="continuous"/>
          <w:pgSz w:w="11905" w:h="16837"/>
          <w:pgMar w:top="1440" w:right="1440" w:bottom="1440" w:left="1440" w:header="720" w:footer="720" w:gutter="0"/>
          <w:cols w:space="720"/>
        </w:sectPr>
      </w:pPr>
    </w:p>
    <w:p w14:paraId="0E53CF75" w14:textId="77777777" w:rsidR="00B63AAA" w:rsidRDefault="00B63AAA"/>
    <w:p w14:paraId="0E53CF76" w14:textId="77777777" w:rsidR="00B63AAA" w:rsidRDefault="00911C9C">
      <w:pPr>
        <w:pStyle w:val="Naslov2"/>
      </w:pPr>
      <w:bookmarkStart w:id="40" w:name="_Toc41"/>
      <w:r>
        <w:t>Podpora za internacionalizacijo študija - Internacionalizacija</w:t>
      </w:r>
      <w:bookmarkEnd w:id="40"/>
    </w:p>
    <w:p w14:paraId="0E53CF77" w14:textId="77777777" w:rsidR="00B63AAA" w:rsidRDefault="00911C9C">
      <w:r>
        <w:t>Kako spremljate in krepite internacionalizacijo ŠP? (npr. število gostujočih profesorjev, ekspertov iz zunanjega okolja/tujine, strokovne ekskurzije v tujino, mednarodne poletne šole, dogodki za promocijo študija/ŠP v tujini) Izvzeta je mobilnost osebja.</w:t>
      </w:r>
    </w:p>
    <w:tbl>
      <w:tblPr>
        <w:tblStyle w:val="box"/>
        <w:tblW w:w="0" w:type="auto"/>
        <w:tblInd w:w="50" w:type="dxa"/>
        <w:tblLook w:val="04A0" w:firstRow="1" w:lastRow="0" w:firstColumn="1" w:lastColumn="0" w:noHBand="0" w:noVBand="1"/>
      </w:tblPr>
      <w:tblGrid>
        <w:gridCol w:w="9075"/>
      </w:tblGrid>
      <w:tr w:rsidR="00B63AAA" w14:paraId="0E53CF79" w14:textId="77777777">
        <w:trPr>
          <w:trHeight w:val="800"/>
        </w:trPr>
        <w:tc>
          <w:tcPr>
            <w:tcW w:w="10000" w:type="dxa"/>
          </w:tcPr>
          <w:p w14:paraId="0E53CF78" w14:textId="77777777" w:rsidR="00B63AAA" w:rsidRDefault="00911C9C">
            <w:r>
              <w:t>V okviru predmeta Sodobni statistični pristopi navadno nastopi precej tujih predavateljev, ki so večinoma uveljavljeni raziskovalci na svojih področjih. V letih 2024/2025 so bili od 25 predavateljev 4 tuji, v letu 2023/2024 pa tudi 4. Številni študenti imajo pri svojih disertacijah somentorje iz tujine, še bolj pogosto pa so iz tujine člani Komisij za spremljanje doktorskih študentov. Glede na to, da so mentorji in izvajalci predmetov na študijskem programu aktivni raziskovalci, ki so vpeti tudi v mednarodn</w:t>
            </w:r>
            <w:r>
              <w:t>e raziskovalne programe, imajo študenti tudi dostop in povezave s širšim mednarodnim krogom raziskovalcev. Študente tudi vzpodbujamo, da se udeležijo lokalnih strokovnih konferenc, ki pa imajo močno mednarodno udeležbo, kot recimo Applied statistics, Young statisticians meeting ali European Young Statisticians meeting, ki so letno organizirane konference. Konferenca Applied statistics doktorske študente, ki nastopjio s prispevkom, oprosti plačila kotizacije. Na članicah izvajalkah praviloma obstajajo stalni</w:t>
            </w:r>
            <w:r>
              <w:t xml:space="preserve"> strokovni seminarji, na katerih pogosto tuji obiskovalci predstavijo raziskovalno delo. Študente spodbujamo, da te seminarje obiskujejo.</w:t>
            </w:r>
          </w:p>
        </w:tc>
      </w:tr>
    </w:tbl>
    <w:p w14:paraId="0E53CF7A" w14:textId="77777777" w:rsidR="00B63AAA" w:rsidRDefault="00B63AAA">
      <w:pPr>
        <w:sectPr w:rsidR="00B63AAA">
          <w:type w:val="continuous"/>
          <w:pgSz w:w="11905" w:h="16837"/>
          <w:pgMar w:top="1440" w:right="1440" w:bottom="1440" w:left="1440" w:header="720" w:footer="720" w:gutter="0"/>
          <w:cols w:space="720"/>
        </w:sectPr>
      </w:pPr>
    </w:p>
    <w:p w14:paraId="0E53CF7B" w14:textId="77777777" w:rsidR="00B63AAA" w:rsidRDefault="00B63AAA"/>
    <w:p w14:paraId="0E53CF7C" w14:textId="77777777" w:rsidR="00B63AAA" w:rsidRDefault="00911C9C">
      <w:pPr>
        <w:pStyle w:val="Naslov2"/>
      </w:pPr>
      <w:bookmarkStart w:id="41" w:name="_Toc42"/>
      <w:r>
        <w:t>Ocena oz. vrednotenje</w:t>
      </w:r>
      <w:bookmarkEnd w:id="41"/>
    </w:p>
    <w:p w14:paraId="0E53CF7D" w14:textId="77777777" w:rsidR="00B63AAA" w:rsidRDefault="00911C9C">
      <w:r>
        <w:t>Ocenite učinke zgoraj navedenih elementov/aktivnosti na kakovost ŠP.</w:t>
      </w:r>
    </w:p>
    <w:p w14:paraId="0E53CF7E" w14:textId="77777777" w:rsidR="00B63AAA" w:rsidRDefault="00911C9C">
      <w:r>
        <w:t>Oceno, če je le mogoče, podprite (npr. z navedbo učinka, z ugotovitvami, povratnimi informacijami, primeri uspešnega vpeljevanja aktivnosti).</w:t>
      </w:r>
    </w:p>
    <w:tbl>
      <w:tblPr>
        <w:tblStyle w:val="box"/>
        <w:tblW w:w="0" w:type="auto"/>
        <w:tblInd w:w="50" w:type="dxa"/>
        <w:tblLook w:val="04A0" w:firstRow="1" w:lastRow="0" w:firstColumn="1" w:lastColumn="0" w:noHBand="0" w:noVBand="1"/>
      </w:tblPr>
      <w:tblGrid>
        <w:gridCol w:w="9075"/>
      </w:tblGrid>
      <w:tr w:rsidR="00B63AAA" w14:paraId="0E53CF80" w14:textId="77777777">
        <w:trPr>
          <w:trHeight w:val="800"/>
        </w:trPr>
        <w:tc>
          <w:tcPr>
            <w:tcW w:w="10000" w:type="dxa"/>
          </w:tcPr>
          <w:p w14:paraId="0E53CF7F" w14:textId="77777777" w:rsidR="00B63AAA" w:rsidRDefault="00911C9C">
            <w:r>
              <w:t xml:space="preserve">Študenti študijskega programa imajo možnosti za izmenjavo mnenj s tujimi raziskovalci in tujimi vrstniki, predvsem skozi raziskovalna omrežja svojih mentorjev. Večinoma je povratna informacija študentov, da znotraj študija ni sistematskega pristopa k omogočanju obiskov v tujini. Administracija v zadnjih letih bolj sistematsko obvešča študente o možnostih za obiske konferenc, poletnih šol in o možnosti študijskih izmenjav, študenti pa morajo take aktivnosti uskladiti s svojimi mentorji.  </w:t>
            </w:r>
          </w:p>
        </w:tc>
      </w:tr>
    </w:tbl>
    <w:p w14:paraId="0E53CF81" w14:textId="77777777" w:rsidR="00B63AAA" w:rsidRDefault="00B63AAA">
      <w:pPr>
        <w:sectPr w:rsidR="00B63AAA">
          <w:type w:val="continuous"/>
          <w:pgSz w:w="11905" w:h="16837"/>
          <w:pgMar w:top="1440" w:right="1440" w:bottom="1440" w:left="1440" w:header="720" w:footer="720" w:gutter="0"/>
          <w:cols w:space="720"/>
        </w:sectPr>
      </w:pPr>
    </w:p>
    <w:p w14:paraId="0E53CF82" w14:textId="77777777" w:rsidR="00B63AAA" w:rsidRDefault="00B63AAA"/>
    <w:p w14:paraId="0E53CF83" w14:textId="77777777" w:rsidR="00B63AAA" w:rsidRDefault="00911C9C">
      <w:pPr>
        <w:pStyle w:val="Naslov2"/>
      </w:pPr>
      <w:bookmarkStart w:id="42" w:name="_Toc43"/>
      <w:r>
        <w:t>Priložnosti za izboljšave</w:t>
      </w:r>
      <w:bookmarkEnd w:id="42"/>
    </w:p>
    <w:p w14:paraId="0E53CF84" w14:textId="77777777" w:rsidR="00B63AAA" w:rsidRDefault="00911C9C">
      <w:r>
        <w:t>Kje vidite priložnosti za izboljšave oz. na kakšen način menite, da bi bilo smiselno naslavljati izzive ŠP z vidika PODPORE ZA INTERNACIONALIZACIJO ŠTUDIJA?</w:t>
      </w:r>
    </w:p>
    <w:p w14:paraId="0E53CF85" w14:textId="77777777" w:rsidR="00B63AAA" w:rsidRDefault="00911C9C">
      <w:r>
        <w:rPr>
          <w:i/>
          <w:iCs/>
        </w:rPr>
        <w:lastRenderedPageBreak/>
        <w:t xml:space="preserve">Zapisano bo prikazano v tabeli s predlogi izboljšav (zadnja tabela, drugi stolpec). </w:t>
      </w:r>
    </w:p>
    <w:p w14:paraId="0E53CF86"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F88" w14:textId="77777777">
        <w:trPr>
          <w:trHeight w:val="100"/>
        </w:trPr>
        <w:tc>
          <w:tcPr>
            <w:tcW w:w="10000" w:type="dxa"/>
          </w:tcPr>
          <w:p w14:paraId="0E53CF87" w14:textId="77777777" w:rsidR="00B63AAA" w:rsidRDefault="00911C9C">
            <w:r>
              <w:t>Možnost bolj sistematskega vzpodbujanja študentov je kreditno ovrednotenje obiskov konferenc ali poletnih šol. Ta možnost je na ravni razprave na Programskem svetu, tako v smislu izvedbe kot tudi morebitnega financiranja s strani študijskega programa.</w:t>
            </w:r>
          </w:p>
        </w:tc>
      </w:tr>
    </w:tbl>
    <w:p w14:paraId="0E53CF89" w14:textId="77777777" w:rsidR="00B63AAA" w:rsidRDefault="00B63AAA">
      <w:pPr>
        <w:sectPr w:rsidR="00B63AAA">
          <w:type w:val="continuous"/>
          <w:pgSz w:w="11905" w:h="16837"/>
          <w:pgMar w:top="1440" w:right="1440" w:bottom="1440" w:left="1440" w:header="720" w:footer="720" w:gutter="0"/>
          <w:cols w:space="720"/>
        </w:sectPr>
      </w:pPr>
    </w:p>
    <w:p w14:paraId="0E53CF8A" w14:textId="77777777" w:rsidR="00B63AAA" w:rsidRDefault="00B63AAA"/>
    <w:p w14:paraId="0E53CF8B" w14:textId="77777777" w:rsidR="00B63AAA" w:rsidRDefault="00B63AAA"/>
    <w:p w14:paraId="0E53CF8C" w14:textId="77777777" w:rsidR="00B63AAA" w:rsidRDefault="00911C9C">
      <w:pPr>
        <w:pStyle w:val="Naslov1"/>
      </w:pPr>
      <w:bookmarkStart w:id="43" w:name="_Toc44"/>
      <w:r>
        <w:t>5.č USPEŠNOST IN UČINKOVITOST ŠTUDIJA: Zagotavljanje podpore, spodbujanje študentov pri študiju</w:t>
      </w:r>
      <w:bookmarkEnd w:id="43"/>
    </w:p>
    <w:p w14:paraId="0E53CF8D" w14:textId="77777777" w:rsidR="00B63AAA" w:rsidRDefault="00911C9C">
      <w:r>
        <w:t>Navedite aktivnosti, ki so vezane na ŠP.</w:t>
      </w:r>
    </w:p>
    <w:p w14:paraId="0E53CF8E" w14:textId="77777777" w:rsidR="00B63AAA" w:rsidRDefault="00B63AAA">
      <w:pPr>
        <w:sectPr w:rsidR="00B63AAA">
          <w:type w:val="continuous"/>
          <w:pgSz w:w="11905" w:h="16837"/>
          <w:pgMar w:top="1440" w:right="1440" w:bottom="1440" w:left="1440" w:header="720" w:footer="720" w:gutter="0"/>
          <w:cols w:space="720"/>
        </w:sectPr>
      </w:pPr>
    </w:p>
    <w:p w14:paraId="0E53CF8F" w14:textId="77777777" w:rsidR="00B63AAA" w:rsidRDefault="00B63AAA"/>
    <w:p w14:paraId="0E53CF90" w14:textId="77777777" w:rsidR="00B63AAA" w:rsidRDefault="00911C9C">
      <w:pPr>
        <w:pStyle w:val="Naslov2"/>
      </w:pPr>
      <w:bookmarkStart w:id="44" w:name="_Toc45"/>
      <w:r>
        <w:t>Zagotavljanje podpore, spodbujanje študentov pri študiju - V povezavi z izvajanjem študijskega procesa</w:t>
      </w:r>
      <w:bookmarkEnd w:id="44"/>
    </w:p>
    <w:p w14:paraId="0E53CF91" w14:textId="77777777" w:rsidR="00B63AAA" w:rsidRDefault="00911C9C">
      <w:r>
        <w:t>Kakšne vrste podpore zagotavljate študentom v povezavi z izvajanjem študijskega procesa?(npr. tutorstvo, podpora pri naboru izbirnih predmetov, naslavljanje različnih potreb študentov, individualno prilagajanje, različni načini ocenjevanja itd.)</w:t>
      </w:r>
    </w:p>
    <w:tbl>
      <w:tblPr>
        <w:tblStyle w:val="box"/>
        <w:tblW w:w="0" w:type="auto"/>
        <w:tblInd w:w="50" w:type="dxa"/>
        <w:tblLook w:val="04A0" w:firstRow="1" w:lastRow="0" w:firstColumn="1" w:lastColumn="0" w:noHBand="0" w:noVBand="1"/>
      </w:tblPr>
      <w:tblGrid>
        <w:gridCol w:w="9075"/>
      </w:tblGrid>
      <w:tr w:rsidR="00B63AAA" w14:paraId="0E53CF93" w14:textId="77777777">
        <w:trPr>
          <w:trHeight w:val="800"/>
        </w:trPr>
        <w:tc>
          <w:tcPr>
            <w:tcW w:w="10000" w:type="dxa"/>
          </w:tcPr>
          <w:p w14:paraId="0E53CF92" w14:textId="77777777" w:rsidR="00B63AAA" w:rsidRDefault="00911C9C">
            <w:r>
              <w:t>Pristop pri študijskem programu je izrazito osredotočen na študente, ki imajo tako ves čas podporo mentorjev, izvajalcev programa, članov Programskega sveta. S tem se lahko prilagodimo vsem študentom študijskega programa. Poleg tega imajo študenti tudi podporo administracije pri vpisu in pri formalnih vprašanjih glede študija.</w:t>
            </w:r>
          </w:p>
        </w:tc>
      </w:tr>
    </w:tbl>
    <w:p w14:paraId="0E53CF94" w14:textId="77777777" w:rsidR="00B63AAA" w:rsidRDefault="00B63AAA">
      <w:pPr>
        <w:sectPr w:rsidR="00B63AAA">
          <w:type w:val="continuous"/>
          <w:pgSz w:w="11905" w:h="16837"/>
          <w:pgMar w:top="1440" w:right="1440" w:bottom="1440" w:left="1440" w:header="720" w:footer="720" w:gutter="0"/>
          <w:cols w:space="720"/>
        </w:sectPr>
      </w:pPr>
    </w:p>
    <w:p w14:paraId="0E53CF95" w14:textId="77777777" w:rsidR="00B63AAA" w:rsidRDefault="00B63AAA"/>
    <w:p w14:paraId="0E53CF96" w14:textId="77777777" w:rsidR="00B63AAA" w:rsidRDefault="00911C9C">
      <w:pPr>
        <w:pStyle w:val="Naslov2"/>
      </w:pPr>
      <w:bookmarkStart w:id="45" w:name="_Toc46"/>
      <w:r>
        <w:t>Zagotavljanje podpore, spodbujanje študentov pri študiju - Znanstveno, raziskovalno oz. umetniško delo</w:t>
      </w:r>
      <w:bookmarkEnd w:id="45"/>
    </w:p>
    <w:p w14:paraId="0E53CF97" w14:textId="77777777" w:rsidR="00B63AAA" w:rsidRDefault="00911C9C">
      <w:r>
        <w:t>[3. stopnja] Kako vključujete študente v znanstveno, raziskovalno in razvojno ter umetniško delo in projekte, povezane s študijskim programom?</w:t>
      </w:r>
    </w:p>
    <w:p w14:paraId="0E53CF98" w14:textId="77777777" w:rsidR="00B63AAA" w:rsidRDefault="00911C9C">
      <w:r>
        <w:t>(npr. vključitev študentov v temeljne in aplikativne raziskave, raziskovalne programe, umetniške projekte itd.)Ocenite število študentov, vključenih v raziskovalne in razvojne oz. umetniške projekte.</w:t>
      </w:r>
    </w:p>
    <w:tbl>
      <w:tblPr>
        <w:tblStyle w:val="box"/>
        <w:tblW w:w="0" w:type="auto"/>
        <w:tblInd w:w="50" w:type="dxa"/>
        <w:tblLook w:val="04A0" w:firstRow="1" w:lastRow="0" w:firstColumn="1" w:lastColumn="0" w:noHBand="0" w:noVBand="1"/>
      </w:tblPr>
      <w:tblGrid>
        <w:gridCol w:w="9075"/>
      </w:tblGrid>
      <w:tr w:rsidR="00B63AAA" w14:paraId="0E53CF9A" w14:textId="77777777">
        <w:trPr>
          <w:trHeight w:val="800"/>
        </w:trPr>
        <w:tc>
          <w:tcPr>
            <w:tcW w:w="10000" w:type="dxa"/>
          </w:tcPr>
          <w:p w14:paraId="0E53CF99" w14:textId="77777777" w:rsidR="00B63AAA" w:rsidRDefault="00911C9C">
            <w:r>
              <w:t>Iz priloge 2 je razvidno, da so doktorski študenti na številnih modulih aktivno vključeni v raziskovalne skupine svojih mentorjev ali skupine, v katerih sodeluje tudi mentor. Odločitev o tem je večinoma v rokah mentorja, včasih pa študenti članstvo izbirajo tudi v dogovoru in v okviru interesov sedanjega ali bodočega delodajalca. Poleg tega študente spodbujamo, da obiskujejo raziskovalne seminarje na matičnih fakultetah.</w:t>
            </w:r>
          </w:p>
        </w:tc>
      </w:tr>
    </w:tbl>
    <w:p w14:paraId="0E53CF9B" w14:textId="77777777" w:rsidR="00B63AAA" w:rsidRDefault="00B63AAA">
      <w:pPr>
        <w:sectPr w:rsidR="00B63AAA">
          <w:type w:val="continuous"/>
          <w:pgSz w:w="11905" w:h="16837"/>
          <w:pgMar w:top="1440" w:right="1440" w:bottom="1440" w:left="1440" w:header="720" w:footer="720" w:gutter="0"/>
          <w:cols w:space="720"/>
        </w:sectPr>
      </w:pPr>
    </w:p>
    <w:p w14:paraId="0E53CF9C" w14:textId="77777777" w:rsidR="00B63AAA" w:rsidRDefault="00B63AAA"/>
    <w:p w14:paraId="0E53CF9D" w14:textId="77777777" w:rsidR="00B63AAA" w:rsidRDefault="00911C9C">
      <w:pPr>
        <w:pStyle w:val="Naslov2"/>
      </w:pPr>
      <w:bookmarkStart w:id="46" w:name="_Toc47"/>
      <w:r>
        <w:t>Zagotavljanje podpore, spodbujanje študentov pri študiju - Aktivnosti ob študiju</w:t>
      </w:r>
      <w:bookmarkEnd w:id="46"/>
    </w:p>
    <w:p w14:paraId="0E53CF9E" w14:textId="77777777" w:rsidR="00B63AAA" w:rsidRDefault="00911C9C">
      <w:r>
        <w:lastRenderedPageBreak/>
        <w:t>Katere aktivnosti še ponujate študentom ob študiju?(npr. šport, pevski zbori, študentska društva itd.)</w:t>
      </w:r>
    </w:p>
    <w:tbl>
      <w:tblPr>
        <w:tblStyle w:val="box"/>
        <w:tblW w:w="0" w:type="auto"/>
        <w:tblInd w:w="50" w:type="dxa"/>
        <w:tblLook w:val="04A0" w:firstRow="1" w:lastRow="0" w:firstColumn="1" w:lastColumn="0" w:noHBand="0" w:noVBand="1"/>
      </w:tblPr>
      <w:tblGrid>
        <w:gridCol w:w="9075"/>
      </w:tblGrid>
      <w:tr w:rsidR="00B63AAA" w14:paraId="0E53CFA0" w14:textId="77777777">
        <w:trPr>
          <w:trHeight w:val="800"/>
        </w:trPr>
        <w:tc>
          <w:tcPr>
            <w:tcW w:w="10000" w:type="dxa"/>
          </w:tcPr>
          <w:p w14:paraId="0E53CF9F" w14:textId="77777777" w:rsidR="00B63AAA" w:rsidRDefault="00911C9C">
            <w:r>
              <w:t>V okviru študija smo v zadnjih dveh letih organizirali srečanje študentov, za kar so iniciativo prevzeli študenti sami in skupno srečanje vseh sodelujočih pri magistrskem študijskem programu Uporabna statistika ter doktorskem programu Statistika z namenom predstavitve doktorskega študijskega programa ter povezovanja. Srečanja so bila uspešna v smislu neformalne izmenjave mnenj v bolj sproščenem vzdušju. Za druge, kot recimo športne, aktivnosti študente skupne službe obvestijo, kaj nudijo članice UL.</w:t>
            </w:r>
          </w:p>
        </w:tc>
      </w:tr>
    </w:tbl>
    <w:p w14:paraId="0E53CFA1" w14:textId="77777777" w:rsidR="00B63AAA" w:rsidRDefault="00B63AAA">
      <w:pPr>
        <w:sectPr w:rsidR="00B63AAA">
          <w:type w:val="continuous"/>
          <w:pgSz w:w="11905" w:h="16837"/>
          <w:pgMar w:top="1440" w:right="1440" w:bottom="1440" w:left="1440" w:header="720" w:footer="720" w:gutter="0"/>
          <w:cols w:space="720"/>
        </w:sectPr>
      </w:pPr>
    </w:p>
    <w:p w14:paraId="0E53CFA2" w14:textId="77777777" w:rsidR="00B63AAA" w:rsidRDefault="00B63AAA"/>
    <w:p w14:paraId="0E53CFA3" w14:textId="77777777" w:rsidR="00B63AAA" w:rsidRDefault="00911C9C">
      <w:pPr>
        <w:pStyle w:val="Naslov2"/>
      </w:pPr>
      <w:bookmarkStart w:id="47" w:name="_Toc48"/>
      <w:r>
        <w:t>Zagotavljanje podpore, spodbujanje študentov pri študiju - Posebna pomoč</w:t>
      </w:r>
      <w:bookmarkEnd w:id="47"/>
    </w:p>
    <w:p w14:paraId="0E53CFA4" w14:textId="77777777" w:rsidR="00B63AAA" w:rsidRDefault="00911C9C">
      <w:r>
        <w:t>Ali je študentom omogočena/dostopna posebna pomoč glede na dodatne potrebe?(npr. pomoč v duševni stiski itd.)</w:t>
      </w:r>
    </w:p>
    <w:tbl>
      <w:tblPr>
        <w:tblStyle w:val="box"/>
        <w:tblW w:w="0" w:type="auto"/>
        <w:tblInd w:w="50" w:type="dxa"/>
        <w:tblLook w:val="04A0" w:firstRow="1" w:lastRow="0" w:firstColumn="1" w:lastColumn="0" w:noHBand="0" w:noVBand="1"/>
      </w:tblPr>
      <w:tblGrid>
        <w:gridCol w:w="9075"/>
      </w:tblGrid>
      <w:tr w:rsidR="00B63AAA" w14:paraId="0E53CFA6" w14:textId="77777777">
        <w:trPr>
          <w:trHeight w:val="800"/>
        </w:trPr>
        <w:tc>
          <w:tcPr>
            <w:tcW w:w="10000" w:type="dxa"/>
          </w:tcPr>
          <w:p w14:paraId="0E53CFA5" w14:textId="77777777" w:rsidR="00B63AAA" w:rsidRDefault="00911C9C">
            <w:r>
              <w:t>Študenti so obveščeni o tem, da na UL in njenih članicah obstajajo svetovalne službe, na katere se lahko obrnejo v primeru duševnih stisk, zapletov z mentorji, diskriminaciji in o tem, kaj je omogočeno študentom s posebnimi potrebami. V okviru svojih možnosti, so sogovorniki lahko tudi mentorji, koordinatorji modulov ali člani Programskega sveta.</w:t>
            </w:r>
          </w:p>
        </w:tc>
      </w:tr>
    </w:tbl>
    <w:p w14:paraId="0E53CFA7" w14:textId="77777777" w:rsidR="00B63AAA" w:rsidRDefault="00B63AAA">
      <w:pPr>
        <w:sectPr w:rsidR="00B63AAA">
          <w:type w:val="continuous"/>
          <w:pgSz w:w="11905" w:h="16837"/>
          <w:pgMar w:top="1440" w:right="1440" w:bottom="1440" w:left="1440" w:header="720" w:footer="720" w:gutter="0"/>
          <w:cols w:space="720"/>
        </w:sectPr>
      </w:pPr>
    </w:p>
    <w:p w14:paraId="0E53CFA8" w14:textId="77777777" w:rsidR="00B63AAA" w:rsidRDefault="00B63AAA"/>
    <w:p w14:paraId="0E53CFA9" w14:textId="77777777" w:rsidR="00B63AAA" w:rsidRDefault="00911C9C">
      <w:pPr>
        <w:pStyle w:val="Naslov2"/>
      </w:pPr>
      <w:bookmarkStart w:id="48" w:name="_Toc49"/>
      <w:r>
        <w:t>Ocena oz. vrednotenje</w:t>
      </w:r>
      <w:bookmarkEnd w:id="48"/>
    </w:p>
    <w:p w14:paraId="0E53CFAA" w14:textId="77777777" w:rsidR="00B63AAA" w:rsidRDefault="00911C9C">
      <w:r>
        <w:t>Ocenite učinke zgoraj navedenih elementov/aktivnosti na kakovost ŠP.</w:t>
      </w:r>
    </w:p>
    <w:p w14:paraId="0E53CFAB" w14:textId="77777777" w:rsidR="00B63AAA" w:rsidRDefault="00911C9C">
      <w:r>
        <w:t>Oceno, če je le mogoče, podprite (npr. z navedbo učinka, z ugotovitvami, povratnimi informacijami, primeri uspešnega vpeljevanja aktivnosti).</w:t>
      </w:r>
    </w:p>
    <w:tbl>
      <w:tblPr>
        <w:tblStyle w:val="box"/>
        <w:tblW w:w="0" w:type="auto"/>
        <w:tblInd w:w="50" w:type="dxa"/>
        <w:tblLook w:val="04A0" w:firstRow="1" w:lastRow="0" w:firstColumn="1" w:lastColumn="0" w:noHBand="0" w:noVBand="1"/>
      </w:tblPr>
      <w:tblGrid>
        <w:gridCol w:w="9075"/>
      </w:tblGrid>
      <w:tr w:rsidR="00B63AAA" w14:paraId="0E53CFAD" w14:textId="77777777">
        <w:trPr>
          <w:trHeight w:val="800"/>
        </w:trPr>
        <w:tc>
          <w:tcPr>
            <w:tcW w:w="10000" w:type="dxa"/>
          </w:tcPr>
          <w:p w14:paraId="0E53CFAC" w14:textId="77777777" w:rsidR="00B63AAA" w:rsidRDefault="00911C9C">
            <w:r>
              <w:t>Izkušnja kaže, da večina težav izhaja iz dvojne obremenjenosti študentov, ki so večinoma zaposleni ali imajo mlade družine in je težko usklajevati vse obveznosti. Zgornji ukrepi, kot je recimo fleksibilnost pri izvajanju študijskega procesa, lahko to deloma omilijo, ne morejo pa takih težav razrešiti.</w:t>
            </w:r>
          </w:p>
        </w:tc>
      </w:tr>
    </w:tbl>
    <w:p w14:paraId="0E53CFAE" w14:textId="77777777" w:rsidR="00B63AAA" w:rsidRDefault="00B63AAA">
      <w:pPr>
        <w:sectPr w:rsidR="00B63AAA">
          <w:type w:val="continuous"/>
          <w:pgSz w:w="11905" w:h="16837"/>
          <w:pgMar w:top="1440" w:right="1440" w:bottom="1440" w:left="1440" w:header="720" w:footer="720" w:gutter="0"/>
          <w:cols w:space="720"/>
        </w:sectPr>
      </w:pPr>
    </w:p>
    <w:p w14:paraId="0E53CFAF" w14:textId="77777777" w:rsidR="00B63AAA" w:rsidRDefault="00B63AAA"/>
    <w:p w14:paraId="0E53CFB0" w14:textId="77777777" w:rsidR="00B63AAA" w:rsidRDefault="00911C9C">
      <w:pPr>
        <w:pStyle w:val="Naslov2"/>
      </w:pPr>
      <w:bookmarkStart w:id="49" w:name="_Toc50"/>
      <w:r>
        <w:t>Priložnosti za izboljšave</w:t>
      </w:r>
      <w:bookmarkEnd w:id="49"/>
    </w:p>
    <w:p w14:paraId="0E53CFB1" w14:textId="77777777" w:rsidR="00B63AAA" w:rsidRDefault="00911C9C">
      <w:r>
        <w:t>Kje vidite priložnosti za izboljšave oz. na kakšen način menite, da bi bilo smiselno naslavljati izzive ŠP z vidika ZAGOTAVLJANJA PODPORE, SPODBUJANJA ŠTUDENTOV PRI ŠTUDIJU?</w:t>
      </w:r>
    </w:p>
    <w:p w14:paraId="0E53CFB2" w14:textId="77777777" w:rsidR="00B63AAA" w:rsidRDefault="00911C9C">
      <w:r>
        <w:rPr>
          <w:i/>
          <w:iCs/>
        </w:rPr>
        <w:t xml:space="preserve">Zapisano bo prikazano v tabeli s predlogi izboljšav (zadnja tabela, drugi stolpec). </w:t>
      </w:r>
    </w:p>
    <w:p w14:paraId="0E53CFB3"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FB5" w14:textId="77777777">
        <w:trPr>
          <w:trHeight w:val="100"/>
        </w:trPr>
        <w:tc>
          <w:tcPr>
            <w:tcW w:w="10000" w:type="dxa"/>
          </w:tcPr>
          <w:p w14:paraId="0E53CFB4" w14:textId="77777777" w:rsidR="00B63AAA" w:rsidRDefault="00911C9C">
            <w:r>
              <w:t>Za to področje ni predvidenih ukrepov.</w:t>
            </w:r>
          </w:p>
        </w:tc>
      </w:tr>
    </w:tbl>
    <w:p w14:paraId="0E53CFB6" w14:textId="77777777" w:rsidR="00B63AAA" w:rsidRDefault="00B63AAA">
      <w:pPr>
        <w:sectPr w:rsidR="00B63AAA">
          <w:type w:val="continuous"/>
          <w:pgSz w:w="11905" w:h="16837"/>
          <w:pgMar w:top="1440" w:right="1440" w:bottom="1440" w:left="1440" w:header="720" w:footer="720" w:gutter="0"/>
          <w:cols w:space="720"/>
        </w:sectPr>
      </w:pPr>
    </w:p>
    <w:p w14:paraId="0E53CFB7" w14:textId="77777777" w:rsidR="00B63AAA" w:rsidRDefault="00B63AAA"/>
    <w:p w14:paraId="0E53CFB8" w14:textId="77777777" w:rsidR="00B63AAA" w:rsidRDefault="00B63AAA"/>
    <w:p w14:paraId="0E53CFB9" w14:textId="77777777" w:rsidR="00B63AAA" w:rsidRDefault="00911C9C">
      <w:pPr>
        <w:pStyle w:val="Naslov1"/>
      </w:pPr>
      <w:bookmarkStart w:id="50" w:name="_Toc51"/>
      <w:r>
        <w:lastRenderedPageBreak/>
        <w:t>5.d USPEŠNOST IN UČINKOVITOST ŠTUDIJA: Praktično usposabljanje študentov</w:t>
      </w:r>
      <w:bookmarkEnd w:id="50"/>
    </w:p>
    <w:p w14:paraId="0E53CFBA" w14:textId="77777777" w:rsidR="00B63AAA" w:rsidRDefault="00911C9C">
      <w:r>
        <w:t>V tem poglavju opišite praktično usposabljanje, ki je organizirano kot samostojna učna enota.</w:t>
      </w:r>
    </w:p>
    <w:p w14:paraId="0E53CFBB" w14:textId="77777777" w:rsidR="00B63AAA" w:rsidRDefault="00911C9C">
      <w:r>
        <w:t>Če praktičnega usposabljanja NIMATE organiziranega kot samostojne učne enote, kliknite na spodnji gumb (</w:t>
      </w:r>
      <w:r>
        <w:rPr>
          <w:i/>
          <w:iCs/>
        </w:rPr>
        <w:t>Na ŠP nimamo organiziranega praktičnega usposabljanja kot samostojne učne enote</w:t>
      </w:r>
      <w:r>
        <w:t>) in to besedilo se bo izpisalo v vsa spodnja polja.</w:t>
      </w:r>
    </w:p>
    <w:p w14:paraId="0E53CFBC" w14:textId="77777777" w:rsidR="00B63AAA" w:rsidRDefault="00911C9C">
      <w:r>
        <w:t>Če imate elemente praktičnega usposabljanja, ki niso organizirani kot samostojna učna enota, jih opišite pri točki 5.č »Zagotavljanje podpore, spodbujanje študentov pri študiju«.</w:t>
      </w:r>
    </w:p>
    <w:p w14:paraId="0E53CFBD" w14:textId="77777777" w:rsidR="00B63AAA" w:rsidRDefault="00B63AAA">
      <w:pPr>
        <w:sectPr w:rsidR="00B63AAA">
          <w:type w:val="continuous"/>
          <w:pgSz w:w="11905" w:h="16837"/>
          <w:pgMar w:top="1440" w:right="1440" w:bottom="1440" w:left="1440" w:header="720" w:footer="720" w:gutter="0"/>
          <w:cols w:space="720"/>
        </w:sectPr>
      </w:pPr>
    </w:p>
    <w:p w14:paraId="0E53CFBE" w14:textId="77777777" w:rsidR="00B63AAA" w:rsidRDefault="00B63AAA"/>
    <w:p w14:paraId="0E53CFBF" w14:textId="77777777" w:rsidR="00B63AAA" w:rsidRDefault="00911C9C">
      <w:pPr>
        <w:pStyle w:val="Naslov2"/>
      </w:pPr>
      <w:bookmarkStart w:id="51" w:name="_Toc52"/>
      <w:r>
        <w:t>Praktično usposabljanje študentov - Organizacija</w:t>
      </w:r>
      <w:bookmarkEnd w:id="51"/>
    </w:p>
    <w:p w14:paraId="0E53CFC0" w14:textId="77777777" w:rsidR="00B63AAA" w:rsidRDefault="00911C9C">
      <w:r>
        <w:t>Opišite, kako je organizirano praktično usposabljanje študentov. (npr. kdo poišče organizacijo, kako spremljate izvajanje prakse, kako pridobivate povratne informacije udeležencev, preverjate ustreznost vsebine oz. opredelitev načrta dela z mentorjem v delovni organizaciji itd.)</w:t>
      </w:r>
    </w:p>
    <w:tbl>
      <w:tblPr>
        <w:tblStyle w:val="box"/>
        <w:tblW w:w="0" w:type="auto"/>
        <w:tblInd w:w="50" w:type="dxa"/>
        <w:tblLook w:val="04A0" w:firstRow="1" w:lastRow="0" w:firstColumn="1" w:lastColumn="0" w:noHBand="0" w:noVBand="1"/>
      </w:tblPr>
      <w:tblGrid>
        <w:gridCol w:w="9075"/>
      </w:tblGrid>
      <w:tr w:rsidR="00B63AAA" w14:paraId="0E53CFC2" w14:textId="77777777">
        <w:trPr>
          <w:trHeight w:val="800"/>
        </w:trPr>
        <w:tc>
          <w:tcPr>
            <w:tcW w:w="10000" w:type="dxa"/>
          </w:tcPr>
          <w:p w14:paraId="0E53CFC1" w14:textId="77777777" w:rsidR="00B63AAA" w:rsidRDefault="00911C9C">
            <w:r>
              <w:t>Študenti študijskega programa so v strokovno, raziskovalno, razvojno delo neposredno vpeti preko vključenosti v projekte svojih mentorjev/somentorjev. Izvajanje prakse v okviru študijskega programa zato ni predvideno.</w:t>
            </w:r>
          </w:p>
        </w:tc>
      </w:tr>
    </w:tbl>
    <w:p w14:paraId="0E53CFC3" w14:textId="77777777" w:rsidR="00B63AAA" w:rsidRDefault="00B63AAA">
      <w:pPr>
        <w:sectPr w:rsidR="00B63AAA">
          <w:type w:val="continuous"/>
          <w:pgSz w:w="11905" w:h="16837"/>
          <w:pgMar w:top="1440" w:right="1440" w:bottom="1440" w:left="1440" w:header="720" w:footer="720" w:gutter="0"/>
          <w:cols w:space="720"/>
        </w:sectPr>
      </w:pPr>
    </w:p>
    <w:p w14:paraId="0E53CFC4" w14:textId="77777777" w:rsidR="00B63AAA" w:rsidRDefault="00B63AAA"/>
    <w:p w14:paraId="0E53CFC5" w14:textId="77777777" w:rsidR="00B63AAA" w:rsidRDefault="00911C9C">
      <w:pPr>
        <w:pStyle w:val="Naslov2"/>
      </w:pPr>
      <w:bookmarkStart w:id="52" w:name="_Toc53"/>
      <w:r>
        <w:t>Praktično usposabljanje študentov - Kompetence in učni izidi</w:t>
      </w:r>
      <w:bookmarkEnd w:id="52"/>
    </w:p>
    <w:p w14:paraId="0E53CFC6" w14:textId="77777777" w:rsidR="00B63AAA" w:rsidRDefault="00911C9C">
      <w:r>
        <w:t xml:space="preserve">Kako preverjate kompetence in učne izide praktičnega usposabljanja študentov? </w:t>
      </w:r>
    </w:p>
    <w:tbl>
      <w:tblPr>
        <w:tblStyle w:val="box"/>
        <w:tblW w:w="0" w:type="auto"/>
        <w:tblInd w:w="50" w:type="dxa"/>
        <w:tblLook w:val="04A0" w:firstRow="1" w:lastRow="0" w:firstColumn="1" w:lastColumn="0" w:noHBand="0" w:noVBand="1"/>
      </w:tblPr>
      <w:tblGrid>
        <w:gridCol w:w="9075"/>
      </w:tblGrid>
      <w:tr w:rsidR="00B63AAA" w14:paraId="0E53CFC8" w14:textId="77777777">
        <w:trPr>
          <w:trHeight w:val="800"/>
        </w:trPr>
        <w:tc>
          <w:tcPr>
            <w:tcW w:w="10000" w:type="dxa"/>
          </w:tcPr>
          <w:p w14:paraId="0E53CFC7" w14:textId="77777777" w:rsidR="00B63AAA" w:rsidRDefault="00911C9C">
            <w:r>
              <w:t>Glede na to, da gre za doktorski študij, je težko ločiti med delom na doktorski disertaciji in praktičnim usposabljanjem. V večini primerov je raziskovalno delo povezano z analizami in modeliranjem podatkov in praktično izvedbo takih analiz, tako da je delo na doktorski disertaciji samo po sebi praktično usposabljanje. S tem akademskim letom stopa v veljavo prenovljen učni načrt predmeta Sodobni statistični pristopi, ki ločuje predmet na dva dela. Drugi del predmeta je Statistično svetovanje, ki je namenjen</w:t>
            </w:r>
            <w:r>
              <w:t>o točno praktični izvedbi statističnih analiz in temu, kako drugim, predvsem morebitnim naročnikom in delodajalcem, učinkovito predstaviti rezultate. Zmožnost komuniciranja rezultatov statističnih analiz postaja vedno bolj pomemben del statistične izobrazbe.</w:t>
            </w:r>
          </w:p>
        </w:tc>
      </w:tr>
    </w:tbl>
    <w:p w14:paraId="0E53CFC9" w14:textId="77777777" w:rsidR="00B63AAA" w:rsidRDefault="00B63AAA">
      <w:pPr>
        <w:sectPr w:rsidR="00B63AAA">
          <w:type w:val="continuous"/>
          <w:pgSz w:w="11905" w:h="16837"/>
          <w:pgMar w:top="1440" w:right="1440" w:bottom="1440" w:left="1440" w:header="720" w:footer="720" w:gutter="0"/>
          <w:cols w:space="720"/>
        </w:sectPr>
      </w:pPr>
    </w:p>
    <w:p w14:paraId="0E53CFCA" w14:textId="77777777" w:rsidR="00B63AAA" w:rsidRDefault="00B63AAA"/>
    <w:p w14:paraId="0E53CFCB" w14:textId="77777777" w:rsidR="00B63AAA" w:rsidRDefault="00911C9C">
      <w:pPr>
        <w:pStyle w:val="Naslov2"/>
      </w:pPr>
      <w:bookmarkStart w:id="53" w:name="_Toc54"/>
      <w:r>
        <w:t>Praktično usposabljanje študentov - Mentorji</w:t>
      </w:r>
      <w:bookmarkEnd w:id="53"/>
    </w:p>
    <w:p w14:paraId="0E53CFCC" w14:textId="77777777" w:rsidR="00B63AAA" w:rsidRDefault="00911C9C">
      <w:r>
        <w:t>Kako poskrbite za strokovnost in usposobljenost mentorjev praktičnega usposabljanja?</w:t>
      </w:r>
    </w:p>
    <w:tbl>
      <w:tblPr>
        <w:tblStyle w:val="box"/>
        <w:tblW w:w="0" w:type="auto"/>
        <w:tblInd w:w="50" w:type="dxa"/>
        <w:tblLook w:val="04A0" w:firstRow="1" w:lastRow="0" w:firstColumn="1" w:lastColumn="0" w:noHBand="0" w:noVBand="1"/>
      </w:tblPr>
      <w:tblGrid>
        <w:gridCol w:w="9075"/>
      </w:tblGrid>
      <w:tr w:rsidR="00B63AAA" w14:paraId="0E53CFCE" w14:textId="77777777">
        <w:trPr>
          <w:trHeight w:val="800"/>
        </w:trPr>
        <w:tc>
          <w:tcPr>
            <w:tcW w:w="10000" w:type="dxa"/>
          </w:tcPr>
          <w:p w14:paraId="0E53CFCD" w14:textId="77777777" w:rsidR="00B63AAA" w:rsidRDefault="00911C9C">
            <w:r>
              <w:t>Izvajalci predmeta Statistično svetovanje so izkušeni raziskovalci, ki so vešči tako praktičnih izvedb statističnih analiz kot tudi učinkovite komunikacije rezultatov.</w:t>
            </w:r>
          </w:p>
        </w:tc>
      </w:tr>
    </w:tbl>
    <w:p w14:paraId="0E53CFCF" w14:textId="77777777" w:rsidR="00B63AAA" w:rsidRDefault="00B63AAA">
      <w:pPr>
        <w:sectPr w:rsidR="00B63AAA">
          <w:type w:val="continuous"/>
          <w:pgSz w:w="11905" w:h="16837"/>
          <w:pgMar w:top="1440" w:right="1440" w:bottom="1440" w:left="1440" w:header="720" w:footer="720" w:gutter="0"/>
          <w:cols w:space="720"/>
        </w:sectPr>
      </w:pPr>
    </w:p>
    <w:p w14:paraId="0E53CFD0" w14:textId="77777777" w:rsidR="00B63AAA" w:rsidRDefault="00B63AAA"/>
    <w:p w14:paraId="0E53CFD1" w14:textId="77777777" w:rsidR="00B63AAA" w:rsidRDefault="00911C9C">
      <w:pPr>
        <w:pStyle w:val="Naslov2"/>
      </w:pPr>
      <w:bookmarkStart w:id="54" w:name="_Toc55"/>
      <w:r>
        <w:t>Praktično usposabljanje študentov - Organizacije</w:t>
      </w:r>
      <w:bookmarkEnd w:id="54"/>
    </w:p>
    <w:p w14:paraId="0E53CFD2" w14:textId="77777777" w:rsidR="00B63AAA" w:rsidRDefault="00911C9C">
      <w:r>
        <w:lastRenderedPageBreak/>
        <w:t>V katerih organizacijah so študentje študijskega programa v preteklem letu opravljali praktično usposabljanje?</w:t>
      </w:r>
    </w:p>
    <w:tbl>
      <w:tblPr>
        <w:tblStyle w:val="box"/>
        <w:tblW w:w="0" w:type="auto"/>
        <w:tblInd w:w="50" w:type="dxa"/>
        <w:tblLook w:val="04A0" w:firstRow="1" w:lastRow="0" w:firstColumn="1" w:lastColumn="0" w:noHBand="0" w:noVBand="1"/>
      </w:tblPr>
      <w:tblGrid>
        <w:gridCol w:w="9075"/>
      </w:tblGrid>
      <w:tr w:rsidR="00B63AAA" w14:paraId="0E53CFD4" w14:textId="77777777">
        <w:trPr>
          <w:trHeight w:val="800"/>
        </w:trPr>
        <w:tc>
          <w:tcPr>
            <w:tcW w:w="10000" w:type="dxa"/>
          </w:tcPr>
          <w:p w14:paraId="0E53CFD3" w14:textId="77777777" w:rsidR="00B63AAA" w:rsidRDefault="00911C9C">
            <w:r>
              <w:t>Praktično usposablnanje se izvaja znotraj samega študijskega programa.</w:t>
            </w:r>
          </w:p>
        </w:tc>
      </w:tr>
    </w:tbl>
    <w:p w14:paraId="0E53CFD5" w14:textId="77777777" w:rsidR="00B63AAA" w:rsidRDefault="00B63AAA">
      <w:pPr>
        <w:sectPr w:rsidR="00B63AAA">
          <w:type w:val="continuous"/>
          <w:pgSz w:w="11905" w:h="16837"/>
          <w:pgMar w:top="1440" w:right="1440" w:bottom="1440" w:left="1440" w:header="720" w:footer="720" w:gutter="0"/>
          <w:cols w:space="720"/>
        </w:sectPr>
      </w:pPr>
    </w:p>
    <w:p w14:paraId="0E53CFD6" w14:textId="77777777" w:rsidR="00B63AAA" w:rsidRDefault="00B63AAA"/>
    <w:p w14:paraId="0E53CFD7" w14:textId="77777777" w:rsidR="00B63AAA" w:rsidRDefault="00911C9C">
      <w:pPr>
        <w:pStyle w:val="Naslov2"/>
      </w:pPr>
      <w:bookmarkStart w:id="55" w:name="_Toc56"/>
      <w:r>
        <w:t>Ocena oz. vrednotenje</w:t>
      </w:r>
      <w:bookmarkEnd w:id="55"/>
    </w:p>
    <w:p w14:paraId="0E53CFD8" w14:textId="77777777" w:rsidR="00B63AAA" w:rsidRDefault="00911C9C">
      <w:r>
        <w:t>Ocenite učinke zgoraj navedenih elementov/aktivnosti na kakovost ŠP.</w:t>
      </w:r>
    </w:p>
    <w:p w14:paraId="0E53CFD9" w14:textId="77777777" w:rsidR="00B63AAA" w:rsidRDefault="00911C9C">
      <w:r>
        <w:t>Oceno, če je le mogoče, podprite (npr. ocenite ustreznost zasnove in izvajanja praktičnega usposabljanja, navedite učinek, ugotovitve, povratne informacije, primere uspešnega vpeljevanja aktivnosti).</w:t>
      </w:r>
    </w:p>
    <w:tbl>
      <w:tblPr>
        <w:tblStyle w:val="box"/>
        <w:tblW w:w="0" w:type="auto"/>
        <w:tblInd w:w="50" w:type="dxa"/>
        <w:tblLook w:val="04A0" w:firstRow="1" w:lastRow="0" w:firstColumn="1" w:lastColumn="0" w:noHBand="0" w:noVBand="1"/>
      </w:tblPr>
      <w:tblGrid>
        <w:gridCol w:w="9075"/>
      </w:tblGrid>
      <w:tr w:rsidR="00B63AAA" w14:paraId="0E53CFDB" w14:textId="77777777">
        <w:trPr>
          <w:trHeight w:val="800"/>
        </w:trPr>
        <w:tc>
          <w:tcPr>
            <w:tcW w:w="10000" w:type="dxa"/>
          </w:tcPr>
          <w:p w14:paraId="0E53CFDA" w14:textId="77777777" w:rsidR="00B63AAA" w:rsidRDefault="00911C9C">
            <w:r>
              <w:t>Ker so praktične izvedbe statističnih raziskav po svoji naravi del programa in raziskovalnega dela menimo, da je izvajanje ustrezno zasnovano, povratna informacija pa je del povratne informacije o kvaliteti in zadovoljnosti študentov s študijskim programom.</w:t>
            </w:r>
          </w:p>
        </w:tc>
      </w:tr>
    </w:tbl>
    <w:p w14:paraId="0E53CFDC" w14:textId="77777777" w:rsidR="00B63AAA" w:rsidRDefault="00B63AAA">
      <w:pPr>
        <w:sectPr w:rsidR="00B63AAA">
          <w:type w:val="continuous"/>
          <w:pgSz w:w="11905" w:h="16837"/>
          <w:pgMar w:top="1440" w:right="1440" w:bottom="1440" w:left="1440" w:header="720" w:footer="720" w:gutter="0"/>
          <w:cols w:space="720"/>
        </w:sectPr>
      </w:pPr>
    </w:p>
    <w:p w14:paraId="0E53CFDD" w14:textId="77777777" w:rsidR="00B63AAA" w:rsidRDefault="00B63AAA"/>
    <w:p w14:paraId="0E53CFDE" w14:textId="77777777" w:rsidR="00B63AAA" w:rsidRDefault="00911C9C">
      <w:pPr>
        <w:pStyle w:val="Naslov2"/>
      </w:pPr>
      <w:bookmarkStart w:id="56" w:name="_Toc57"/>
      <w:r>
        <w:t>Priložnosti za izboljšave</w:t>
      </w:r>
      <w:bookmarkEnd w:id="56"/>
    </w:p>
    <w:p w14:paraId="0E53CFDF" w14:textId="77777777" w:rsidR="00B63AAA" w:rsidRDefault="00911C9C">
      <w:r>
        <w:t>Kje vidite priložnosti za izboljšave oz. na kakšen način menite, da bi bilo smiselno naslavljati izzive ŠP z vidika PRAKTIČNEGA USPOSABLJANJA ŠTUDENTOV?</w:t>
      </w:r>
    </w:p>
    <w:p w14:paraId="0E53CFE0" w14:textId="77777777" w:rsidR="00B63AAA" w:rsidRDefault="00911C9C">
      <w:r>
        <w:rPr>
          <w:i/>
          <w:iCs/>
        </w:rPr>
        <w:t xml:space="preserve">Zapisano bo prikazano v tabeli s predlogi izboljšav (zadnja tabela, drugi stolpec). </w:t>
      </w:r>
    </w:p>
    <w:p w14:paraId="0E53CFE1"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CFE3" w14:textId="77777777">
        <w:trPr>
          <w:trHeight w:val="100"/>
        </w:trPr>
        <w:tc>
          <w:tcPr>
            <w:tcW w:w="10000" w:type="dxa"/>
          </w:tcPr>
          <w:p w14:paraId="0E53CFE2" w14:textId="77777777" w:rsidR="00B63AAA" w:rsidRDefault="00911C9C">
            <w:r>
              <w:t>Za to področje ni predvidenih ukrepov.</w:t>
            </w:r>
          </w:p>
        </w:tc>
      </w:tr>
    </w:tbl>
    <w:p w14:paraId="0E53CFE4" w14:textId="77777777" w:rsidR="00B63AAA" w:rsidRDefault="00B63AAA">
      <w:pPr>
        <w:sectPr w:rsidR="00B63AAA">
          <w:type w:val="continuous"/>
          <w:pgSz w:w="11905" w:h="16837"/>
          <w:pgMar w:top="1440" w:right="1440" w:bottom="1440" w:left="1440" w:header="720" w:footer="720" w:gutter="0"/>
          <w:cols w:space="720"/>
        </w:sectPr>
      </w:pPr>
    </w:p>
    <w:p w14:paraId="0E53CFE5" w14:textId="77777777" w:rsidR="00B63AAA" w:rsidRDefault="00B63AAA"/>
    <w:p w14:paraId="0E53CFE6" w14:textId="77777777" w:rsidR="00B63AAA" w:rsidRDefault="00B63AAA"/>
    <w:p w14:paraId="0E53CFE7" w14:textId="77777777" w:rsidR="00B63AAA" w:rsidRDefault="00911C9C">
      <w:pPr>
        <w:pStyle w:val="Naslov1"/>
      </w:pPr>
      <w:bookmarkStart w:id="57" w:name="_Toc58"/>
      <w:r>
        <w:t>5.e USPEŠNOST IN UČINKOVITOST ŠTUDIJA: Spodbujanje strokovnega razvoja zaposlenih in sodelujočih</w:t>
      </w:r>
      <w:bookmarkEnd w:id="57"/>
    </w:p>
    <w:p w14:paraId="0E53CFE8" w14:textId="77777777" w:rsidR="00B63AAA" w:rsidRDefault="00911C9C">
      <w:r>
        <w:t>Navedite aktivnosti, ki so vezane na ŠP.</w:t>
      </w:r>
    </w:p>
    <w:p w14:paraId="0E53CFE9" w14:textId="77777777" w:rsidR="00B63AAA" w:rsidRDefault="00B63AAA">
      <w:pPr>
        <w:sectPr w:rsidR="00B63AAA">
          <w:type w:val="continuous"/>
          <w:pgSz w:w="11905" w:h="16837"/>
          <w:pgMar w:top="1440" w:right="1440" w:bottom="1440" w:left="1440" w:header="720" w:footer="720" w:gutter="0"/>
          <w:cols w:space="720"/>
        </w:sectPr>
      </w:pPr>
    </w:p>
    <w:p w14:paraId="0E53CFEA" w14:textId="77777777" w:rsidR="00B63AAA" w:rsidRDefault="00B63AAA"/>
    <w:p w14:paraId="0E53CFEB" w14:textId="77777777" w:rsidR="00B63AAA" w:rsidRDefault="00911C9C">
      <w:pPr>
        <w:pStyle w:val="Naslov2"/>
      </w:pPr>
      <w:bookmarkStart w:id="58" w:name="_Toc59"/>
      <w:r>
        <w:t>Spodbujanje strokovnega razvoja zaposlenih in sodelujočih, ki izvajajo, podpirajo ŠP - Karierni razvoj</w:t>
      </w:r>
      <w:bookmarkEnd w:id="58"/>
    </w:p>
    <w:p w14:paraId="0E53CFEC" w14:textId="77777777" w:rsidR="00B63AAA" w:rsidRDefault="00911C9C">
      <w:r>
        <w:t xml:space="preserve">Kako skrbite za karierni razvoj visokošolskih učiteljev in sodelavcev, ki izvajajo ŠP? </w:t>
      </w:r>
    </w:p>
    <w:tbl>
      <w:tblPr>
        <w:tblStyle w:val="box"/>
        <w:tblW w:w="0" w:type="auto"/>
        <w:tblInd w:w="50" w:type="dxa"/>
        <w:tblLook w:val="04A0" w:firstRow="1" w:lastRow="0" w:firstColumn="1" w:lastColumn="0" w:noHBand="0" w:noVBand="1"/>
      </w:tblPr>
      <w:tblGrid>
        <w:gridCol w:w="9075"/>
      </w:tblGrid>
      <w:tr w:rsidR="00B63AAA" w14:paraId="0E53CFEE" w14:textId="77777777">
        <w:trPr>
          <w:trHeight w:val="800"/>
        </w:trPr>
        <w:tc>
          <w:tcPr>
            <w:tcW w:w="10000" w:type="dxa"/>
          </w:tcPr>
          <w:p w14:paraId="0E53CFED" w14:textId="77777777" w:rsidR="00B63AAA" w:rsidRDefault="00911C9C">
            <w:r>
              <w:t>Izvajalci programa so aktivni raziskovalci, vključeni v raziskovalne programe na mednarodni ravni in podvrženi preverjanju ustreznosti na matičnih fakultetah izvajalkah študija. Sam študijski program v tem pogledu nima posebne vloge.</w:t>
            </w:r>
          </w:p>
        </w:tc>
      </w:tr>
    </w:tbl>
    <w:p w14:paraId="0E53CFEF" w14:textId="77777777" w:rsidR="00B63AAA" w:rsidRDefault="00B63AAA">
      <w:pPr>
        <w:sectPr w:rsidR="00B63AAA">
          <w:type w:val="continuous"/>
          <w:pgSz w:w="11905" w:h="16837"/>
          <w:pgMar w:top="1440" w:right="1440" w:bottom="1440" w:left="1440" w:header="720" w:footer="720" w:gutter="0"/>
          <w:cols w:space="720"/>
        </w:sectPr>
      </w:pPr>
    </w:p>
    <w:p w14:paraId="0E53CFF0" w14:textId="77777777" w:rsidR="00B63AAA" w:rsidRDefault="00B63AAA"/>
    <w:p w14:paraId="0E53CFF1" w14:textId="77777777" w:rsidR="00B63AAA" w:rsidRDefault="00911C9C">
      <w:pPr>
        <w:pStyle w:val="Naslov2"/>
      </w:pPr>
      <w:bookmarkStart w:id="59" w:name="_Toc60"/>
      <w:r>
        <w:lastRenderedPageBreak/>
        <w:t>Spodbujanje strokovnega razvoja zaposlenih in sodelujočih, ki izvajajo, podpirajo ŠP - Usposabljanja za pridobitev pedagoških kompetenc</w:t>
      </w:r>
      <w:bookmarkEnd w:id="59"/>
    </w:p>
    <w:p w14:paraId="0E53CFF2" w14:textId="77777777" w:rsidR="00B63AAA" w:rsidRDefault="00911C9C">
      <w:r>
        <w:t xml:space="preserve">V kolikšni meri so se visokošolski učitelji in sodelavci ŠP usposabljali na področju pridobivanja dodatnih pedagoških kompetenc? (npr. inovativnega učenja in poučevanja, didaktike, odličnosti, mentoriranja) </w:t>
      </w:r>
    </w:p>
    <w:p w14:paraId="0E53CFF3" w14:textId="77777777" w:rsidR="00B63AAA" w:rsidRDefault="00911C9C">
      <w:r>
        <w:t>Navedite število vključitev posameznika v usposabljanja ter opišite obliko vključitve(npr. konference s področja učenja in poučevanja, neposredne oblike usposabljanja, druge oblike izobraževanj).</w:t>
      </w:r>
    </w:p>
    <w:tbl>
      <w:tblPr>
        <w:tblStyle w:val="box"/>
        <w:tblW w:w="0" w:type="auto"/>
        <w:tblInd w:w="50" w:type="dxa"/>
        <w:tblLook w:val="04A0" w:firstRow="1" w:lastRow="0" w:firstColumn="1" w:lastColumn="0" w:noHBand="0" w:noVBand="1"/>
      </w:tblPr>
      <w:tblGrid>
        <w:gridCol w:w="9075"/>
      </w:tblGrid>
      <w:tr w:rsidR="00B63AAA" w14:paraId="0E53CFF5" w14:textId="77777777">
        <w:trPr>
          <w:trHeight w:val="800"/>
        </w:trPr>
        <w:tc>
          <w:tcPr>
            <w:tcW w:w="10000" w:type="dxa"/>
          </w:tcPr>
          <w:p w14:paraId="0E53CFF4" w14:textId="77777777" w:rsidR="00B63AAA" w:rsidRDefault="00911C9C">
            <w:r>
              <w:t>Ker gre za interdisciplinarni študijski program, ki ga izvaja več članic UL, sam študijski program nima neposredne vloge pri usposabljanju izvajalcev.  Izvajalce opozorimo na številne usposabljanja, ki jih nudi UL na področju inovativnih pristopov k pedagoškemu delu, posebej na področju uporabe umetne inteligence, nimamo pa povratne informacije o udeležbi izvajalcev.</w:t>
            </w:r>
          </w:p>
        </w:tc>
      </w:tr>
    </w:tbl>
    <w:p w14:paraId="0E53CFF6" w14:textId="77777777" w:rsidR="00B63AAA" w:rsidRDefault="00B63AAA">
      <w:pPr>
        <w:sectPr w:rsidR="00B63AAA">
          <w:type w:val="continuous"/>
          <w:pgSz w:w="11905" w:h="16837"/>
          <w:pgMar w:top="1440" w:right="1440" w:bottom="1440" w:left="1440" w:header="720" w:footer="720" w:gutter="0"/>
          <w:cols w:space="720"/>
        </w:sectPr>
      </w:pPr>
    </w:p>
    <w:p w14:paraId="0E53CFF7" w14:textId="77777777" w:rsidR="00B63AAA" w:rsidRDefault="00B63AAA"/>
    <w:p w14:paraId="0E53CFF8" w14:textId="77777777" w:rsidR="00B63AAA" w:rsidRDefault="00911C9C">
      <w:pPr>
        <w:pStyle w:val="Naslov2"/>
      </w:pPr>
      <w:bookmarkStart w:id="60" w:name="_Toc61"/>
      <w:r>
        <w:t>Spodbujanje strokovnega razvoja zaposlenih in sodelujočih, ki izvajajo, podpirajo ŠP - Mednarodna mobilnost</w:t>
      </w:r>
      <w:bookmarkEnd w:id="60"/>
    </w:p>
    <w:p w14:paraId="0E53CFF9" w14:textId="77777777" w:rsidR="00B63AAA" w:rsidRDefault="00911C9C">
      <w:r>
        <w:t>Navedite obseg mednarodne mobilnosti visokošolskih učiteljev in sodelavcev ter strokovnih sodelavcev, ki neposredno sodelujejo pri izvedbi in podpori ŠP.</w:t>
      </w:r>
    </w:p>
    <w:tbl>
      <w:tblPr>
        <w:tblStyle w:val="box"/>
        <w:tblW w:w="0" w:type="auto"/>
        <w:tblInd w:w="50" w:type="dxa"/>
        <w:tblLook w:val="04A0" w:firstRow="1" w:lastRow="0" w:firstColumn="1" w:lastColumn="0" w:noHBand="0" w:noVBand="1"/>
      </w:tblPr>
      <w:tblGrid>
        <w:gridCol w:w="9075"/>
      </w:tblGrid>
      <w:tr w:rsidR="00B63AAA" w14:paraId="0E53CFFB" w14:textId="77777777">
        <w:trPr>
          <w:trHeight w:val="800"/>
        </w:trPr>
        <w:tc>
          <w:tcPr>
            <w:tcW w:w="10000" w:type="dxa"/>
          </w:tcPr>
          <w:p w14:paraId="0E53CFFA" w14:textId="77777777" w:rsidR="00B63AAA" w:rsidRDefault="00911C9C">
            <w:r>
              <w:t>Učitelji izvajalci so večinoma vpeti v mednarodno raziskovalno okolje in se morajo odzivati na razvoj stroke in nove metodološke in računalniške pristope. Večina se jih redno udeležuje strokovnih konferenc in imajo široko razvejano mednarodno mrežo sodelavcev in raziskovalcev. Izvajalci tudi poznajo možnosti, kot so Erasumus mobilnost za učitelje in jih izkoriščajo.</w:t>
            </w:r>
          </w:p>
        </w:tc>
      </w:tr>
    </w:tbl>
    <w:p w14:paraId="0E53CFFC" w14:textId="77777777" w:rsidR="00B63AAA" w:rsidRDefault="00B63AAA">
      <w:pPr>
        <w:sectPr w:rsidR="00B63AAA">
          <w:type w:val="continuous"/>
          <w:pgSz w:w="11905" w:h="16837"/>
          <w:pgMar w:top="1440" w:right="1440" w:bottom="1440" w:left="1440" w:header="720" w:footer="720" w:gutter="0"/>
          <w:cols w:space="720"/>
        </w:sectPr>
      </w:pPr>
    </w:p>
    <w:p w14:paraId="0E53CFFD" w14:textId="77777777" w:rsidR="00B63AAA" w:rsidRDefault="00B63AAA"/>
    <w:p w14:paraId="0E53CFFE" w14:textId="77777777" w:rsidR="00B63AAA" w:rsidRDefault="00911C9C">
      <w:pPr>
        <w:pStyle w:val="Naslov2"/>
      </w:pPr>
      <w:bookmarkStart w:id="61" w:name="_Toc62"/>
      <w:r>
        <w:t>Spodbujanje strokovnega razvoja zaposlenih in sodelujočih, ki izvajajo, podpirajo ŠP - Znanstveno - raziskovalno delo in razvojno delo</w:t>
      </w:r>
      <w:bookmarkEnd w:id="61"/>
    </w:p>
    <w:p w14:paraId="0E53CFFF" w14:textId="77777777" w:rsidR="00B63AAA" w:rsidRDefault="00911C9C">
      <w:r>
        <w:t>Ali imajo visokošolski učitelji ustrezne možnosti za znanstveno-raziskovalno in razvojno delo?Kako jih pri tem podpira fakulteta/akademija?</w:t>
      </w:r>
    </w:p>
    <w:tbl>
      <w:tblPr>
        <w:tblStyle w:val="box"/>
        <w:tblW w:w="0" w:type="auto"/>
        <w:tblInd w:w="50" w:type="dxa"/>
        <w:tblLook w:val="04A0" w:firstRow="1" w:lastRow="0" w:firstColumn="1" w:lastColumn="0" w:noHBand="0" w:noVBand="1"/>
      </w:tblPr>
      <w:tblGrid>
        <w:gridCol w:w="9075"/>
      </w:tblGrid>
      <w:tr w:rsidR="00B63AAA" w14:paraId="0E53D001" w14:textId="77777777">
        <w:trPr>
          <w:trHeight w:val="800"/>
        </w:trPr>
        <w:tc>
          <w:tcPr>
            <w:tcW w:w="10000" w:type="dxa"/>
          </w:tcPr>
          <w:p w14:paraId="0E53D000" w14:textId="77777777" w:rsidR="00B63AAA" w:rsidRDefault="00911C9C">
            <w:r>
              <w:t>To vprašanje bolj spada na matične fakultete izvajalke programa. Glede na to, da so izvajalci visokošolski učitelji na svojem področju na fakultetah izvajalkah, je okolje za znanstveno-raziskovalno delo odvisno od izvajalk.</w:t>
            </w:r>
          </w:p>
        </w:tc>
      </w:tr>
    </w:tbl>
    <w:p w14:paraId="0E53D002" w14:textId="77777777" w:rsidR="00B63AAA" w:rsidRDefault="00B63AAA">
      <w:pPr>
        <w:sectPr w:rsidR="00B63AAA">
          <w:type w:val="continuous"/>
          <w:pgSz w:w="11905" w:h="16837"/>
          <w:pgMar w:top="1440" w:right="1440" w:bottom="1440" w:left="1440" w:header="720" w:footer="720" w:gutter="0"/>
          <w:cols w:space="720"/>
        </w:sectPr>
      </w:pPr>
    </w:p>
    <w:p w14:paraId="0E53D003" w14:textId="77777777" w:rsidR="00B63AAA" w:rsidRDefault="00B63AAA"/>
    <w:p w14:paraId="0E53D004" w14:textId="77777777" w:rsidR="00B63AAA" w:rsidRDefault="00911C9C">
      <w:pPr>
        <w:pStyle w:val="Naslov2"/>
      </w:pPr>
      <w:bookmarkStart w:id="62" w:name="_Toc63"/>
      <w:r>
        <w:t>Spodbujanje strokovnega razvoja zaposlenih in sodelujočih, ki izvajajo, podpirajo ŠP - Organizacijska klima</w:t>
      </w:r>
      <w:bookmarkEnd w:id="62"/>
    </w:p>
    <w:p w14:paraId="0E53D005" w14:textId="77777777" w:rsidR="00B63AAA" w:rsidRDefault="00911C9C">
      <w:r>
        <w:t>Kako skrbite za organizacijsko klimo na ŠP?(Upoštevajte tudi izsledke iz merjenja zadovoljstva, letnih razgovorov itd.)</w:t>
      </w:r>
    </w:p>
    <w:tbl>
      <w:tblPr>
        <w:tblStyle w:val="box"/>
        <w:tblW w:w="0" w:type="auto"/>
        <w:tblInd w:w="50" w:type="dxa"/>
        <w:tblLook w:val="04A0" w:firstRow="1" w:lastRow="0" w:firstColumn="1" w:lastColumn="0" w:noHBand="0" w:noVBand="1"/>
      </w:tblPr>
      <w:tblGrid>
        <w:gridCol w:w="9075"/>
      </w:tblGrid>
      <w:tr w:rsidR="00B63AAA" w14:paraId="0E53D007" w14:textId="77777777">
        <w:trPr>
          <w:trHeight w:val="800"/>
        </w:trPr>
        <w:tc>
          <w:tcPr>
            <w:tcW w:w="10000" w:type="dxa"/>
          </w:tcPr>
          <w:p w14:paraId="0E53D006" w14:textId="77777777" w:rsidR="00B63AAA" w:rsidRDefault="00911C9C">
            <w:r>
              <w:t xml:space="preserve">Pri tako majhnem številu vpisanih je vzdušje odvisno od raziskovalne skupine, v kateri je študent. Programski svet v zadnjem evalvacijskem obdobju ni zaznal težav ali napetosti med mentorji in študenti ali med študenti. Ocenjujemo, da izvajanje programa poteka brez </w:t>
            </w:r>
            <w:r>
              <w:lastRenderedPageBreak/>
              <w:t>tovrstnih zapletov. Občasno pride do menjav mentorjev, vendar so bili vsi taki primeri rešeni dogovorno.</w:t>
            </w:r>
          </w:p>
        </w:tc>
      </w:tr>
    </w:tbl>
    <w:p w14:paraId="0E53D008" w14:textId="77777777" w:rsidR="00B63AAA" w:rsidRDefault="00B63AAA">
      <w:pPr>
        <w:sectPr w:rsidR="00B63AAA">
          <w:type w:val="continuous"/>
          <w:pgSz w:w="11905" w:h="16837"/>
          <w:pgMar w:top="1440" w:right="1440" w:bottom="1440" w:left="1440" w:header="720" w:footer="720" w:gutter="0"/>
          <w:cols w:space="720"/>
        </w:sectPr>
      </w:pPr>
    </w:p>
    <w:p w14:paraId="0E53D009" w14:textId="77777777" w:rsidR="00B63AAA" w:rsidRDefault="00B63AAA"/>
    <w:p w14:paraId="0E53D00A" w14:textId="77777777" w:rsidR="00B63AAA" w:rsidRDefault="00911C9C">
      <w:pPr>
        <w:pStyle w:val="Naslov2"/>
      </w:pPr>
      <w:bookmarkStart w:id="63" w:name="_Toc64"/>
      <w:r>
        <w:t>Spodbujanje strokovnega razvoja zaposlenih in sodelujočih, ki izvajajo, podpirajo ŠP - Kadrovska struktura</w:t>
      </w:r>
      <w:bookmarkEnd w:id="63"/>
    </w:p>
    <w:p w14:paraId="0E53D00B" w14:textId="77777777" w:rsidR="00B63AAA" w:rsidRDefault="00911C9C">
      <w:r>
        <w:t>Ali ocenjujete kadrovsko strukturo kot ustrezno in kako vpliva na izvedbo ŠP?</w:t>
      </w:r>
    </w:p>
    <w:tbl>
      <w:tblPr>
        <w:tblStyle w:val="box"/>
        <w:tblW w:w="0" w:type="auto"/>
        <w:tblInd w:w="50" w:type="dxa"/>
        <w:tblLook w:val="04A0" w:firstRow="1" w:lastRow="0" w:firstColumn="1" w:lastColumn="0" w:noHBand="0" w:noVBand="1"/>
      </w:tblPr>
      <w:tblGrid>
        <w:gridCol w:w="9075"/>
      </w:tblGrid>
      <w:tr w:rsidR="00B63AAA" w14:paraId="0E53D00D" w14:textId="77777777">
        <w:trPr>
          <w:trHeight w:val="800"/>
        </w:trPr>
        <w:tc>
          <w:tcPr>
            <w:tcW w:w="10000" w:type="dxa"/>
          </w:tcPr>
          <w:p w14:paraId="0E53D00C" w14:textId="77777777" w:rsidR="00B63AAA" w:rsidRDefault="00911C9C">
            <w:r>
              <w:t xml:space="preserve">Vsi učitelji so habilitirani učitelji UL z dolgoletnimi pedagoškimi  in raziskovalnimi izkušnjami. Služba za doktorski študij na Univerzi vedno prejema samo pohvale s strani učiteljev in študentov. Stvari so organizacijsko in kadrovsko dobro postavljene, ker pa se od njih zahteva vedno več, bo najbrž treba razmišljati o kadrovskih okrepitvah. </w:t>
            </w:r>
          </w:p>
        </w:tc>
      </w:tr>
    </w:tbl>
    <w:p w14:paraId="0E53D00E" w14:textId="77777777" w:rsidR="00B63AAA" w:rsidRDefault="00B63AAA">
      <w:pPr>
        <w:sectPr w:rsidR="00B63AAA">
          <w:type w:val="continuous"/>
          <w:pgSz w:w="11905" w:h="16837"/>
          <w:pgMar w:top="1440" w:right="1440" w:bottom="1440" w:left="1440" w:header="720" w:footer="720" w:gutter="0"/>
          <w:cols w:space="720"/>
        </w:sectPr>
      </w:pPr>
    </w:p>
    <w:p w14:paraId="0E53D00F" w14:textId="77777777" w:rsidR="00B63AAA" w:rsidRDefault="00B63AAA"/>
    <w:p w14:paraId="0E53D010" w14:textId="77777777" w:rsidR="00B63AAA" w:rsidRDefault="00911C9C">
      <w:pPr>
        <w:pStyle w:val="Naslov2"/>
      </w:pPr>
      <w:bookmarkStart w:id="64" w:name="_Toc65"/>
      <w:r>
        <w:t>Ocena oz. vrednotenje</w:t>
      </w:r>
      <w:bookmarkEnd w:id="64"/>
    </w:p>
    <w:p w14:paraId="0E53D011" w14:textId="77777777" w:rsidR="00B63AAA" w:rsidRDefault="00911C9C">
      <w:r>
        <w:t xml:space="preserve">Ocenite učinke zgoraj navedenih elementov/aktivnosti na kakovost ŠP. </w:t>
      </w:r>
    </w:p>
    <w:p w14:paraId="0E53D012" w14:textId="77777777" w:rsidR="00B63AAA" w:rsidRDefault="00911C9C">
      <w:r>
        <w:t>Oceno, če je le mogoče, podprite (npr. z navedbo učinka, z ugotovitvami, povratnimi informacijami, primeri uspešnega vpeljevanja aktivnosti).</w:t>
      </w:r>
    </w:p>
    <w:tbl>
      <w:tblPr>
        <w:tblStyle w:val="box"/>
        <w:tblW w:w="0" w:type="auto"/>
        <w:tblInd w:w="50" w:type="dxa"/>
        <w:tblLook w:val="04A0" w:firstRow="1" w:lastRow="0" w:firstColumn="1" w:lastColumn="0" w:noHBand="0" w:noVBand="1"/>
      </w:tblPr>
      <w:tblGrid>
        <w:gridCol w:w="9075"/>
      </w:tblGrid>
      <w:tr w:rsidR="00B63AAA" w14:paraId="0E53D014" w14:textId="77777777">
        <w:trPr>
          <w:trHeight w:val="800"/>
        </w:trPr>
        <w:tc>
          <w:tcPr>
            <w:tcW w:w="10000" w:type="dxa"/>
          </w:tcPr>
          <w:p w14:paraId="0E53D013" w14:textId="77777777" w:rsidR="00B63AAA" w:rsidRDefault="00911C9C">
            <w:r>
              <w:t xml:space="preserve">Programski svet ima le spodbujavalno vlogo, iz razgovorv s študenti pa izhaja, da so izvajalci programa strokovno in pedagoško na visokem nivoju.  </w:t>
            </w:r>
          </w:p>
        </w:tc>
      </w:tr>
    </w:tbl>
    <w:p w14:paraId="0E53D015" w14:textId="77777777" w:rsidR="00B63AAA" w:rsidRDefault="00B63AAA">
      <w:pPr>
        <w:sectPr w:rsidR="00B63AAA">
          <w:type w:val="continuous"/>
          <w:pgSz w:w="11905" w:h="16837"/>
          <w:pgMar w:top="1440" w:right="1440" w:bottom="1440" w:left="1440" w:header="720" w:footer="720" w:gutter="0"/>
          <w:cols w:space="720"/>
        </w:sectPr>
      </w:pPr>
    </w:p>
    <w:p w14:paraId="0E53D016" w14:textId="77777777" w:rsidR="00B63AAA" w:rsidRDefault="00B63AAA"/>
    <w:p w14:paraId="0E53D017" w14:textId="77777777" w:rsidR="00B63AAA" w:rsidRDefault="00911C9C">
      <w:pPr>
        <w:pStyle w:val="Naslov2"/>
      </w:pPr>
      <w:bookmarkStart w:id="65" w:name="_Toc66"/>
      <w:r>
        <w:t>Priložnosti za izboljšave</w:t>
      </w:r>
      <w:bookmarkEnd w:id="65"/>
    </w:p>
    <w:p w14:paraId="0E53D018" w14:textId="77777777" w:rsidR="00B63AAA" w:rsidRDefault="00911C9C">
      <w:r>
        <w:t xml:space="preserve">Kje vidite priložnosti za izboljšave oz. na kakšen način menite, da bi bilo smiselno naslavljati izzive ŠP z vidika SPODBUJANJA STROKOVNEGA RAZVOJA ZAPOSLENIH IN SODELUJOČIH? </w:t>
      </w:r>
    </w:p>
    <w:p w14:paraId="0E53D019" w14:textId="77777777" w:rsidR="00B63AAA" w:rsidRDefault="00911C9C">
      <w:r>
        <w:rPr>
          <w:i/>
          <w:iCs/>
        </w:rPr>
        <w:t xml:space="preserve">Zapisano bo prikazano v tabeli s predlogi izboljšav (zadnja tabela, drugi stolpec). </w:t>
      </w:r>
    </w:p>
    <w:p w14:paraId="0E53D01A" w14:textId="77777777" w:rsidR="00B63AAA" w:rsidRDefault="00911C9C">
      <w:r>
        <w:rPr>
          <w:i/>
          <w:iCs/>
        </w:rPr>
        <w:t>Če priložnosti za izboljšave trenutno ne vidite, izberite možnost "Za to področje ni predvidenih ukrepov."</w:t>
      </w:r>
    </w:p>
    <w:tbl>
      <w:tblPr>
        <w:tblStyle w:val="box"/>
        <w:tblW w:w="0" w:type="auto"/>
        <w:tblInd w:w="50" w:type="dxa"/>
        <w:tblLook w:val="04A0" w:firstRow="1" w:lastRow="0" w:firstColumn="1" w:lastColumn="0" w:noHBand="0" w:noVBand="1"/>
      </w:tblPr>
      <w:tblGrid>
        <w:gridCol w:w="9075"/>
      </w:tblGrid>
      <w:tr w:rsidR="00B63AAA" w14:paraId="0E53D01C" w14:textId="77777777">
        <w:trPr>
          <w:trHeight w:val="100"/>
        </w:trPr>
        <w:tc>
          <w:tcPr>
            <w:tcW w:w="10000" w:type="dxa"/>
          </w:tcPr>
          <w:p w14:paraId="0E53D01B" w14:textId="77777777" w:rsidR="00B63AAA" w:rsidRDefault="00911C9C">
            <w:r>
              <w:t>Za to področje ni predvidenih ukrepov.</w:t>
            </w:r>
          </w:p>
        </w:tc>
      </w:tr>
    </w:tbl>
    <w:p w14:paraId="0E53D01D" w14:textId="77777777" w:rsidR="00B63AAA" w:rsidRDefault="00B63AAA">
      <w:pPr>
        <w:sectPr w:rsidR="00B63AAA">
          <w:type w:val="continuous"/>
          <w:pgSz w:w="11905" w:h="16837"/>
          <w:pgMar w:top="1440" w:right="1440" w:bottom="1440" w:left="1440" w:header="720" w:footer="720" w:gutter="0"/>
          <w:cols w:space="720"/>
        </w:sectPr>
      </w:pPr>
    </w:p>
    <w:p w14:paraId="0E53D01E" w14:textId="77777777" w:rsidR="00B63AAA" w:rsidRDefault="00B63AAA"/>
    <w:p w14:paraId="0E53D01F" w14:textId="77777777" w:rsidR="00B63AAA" w:rsidRDefault="00B63AAA"/>
    <w:p w14:paraId="0E53D020" w14:textId="77777777" w:rsidR="00B63AAA" w:rsidRDefault="00911C9C">
      <w:pPr>
        <w:pStyle w:val="Naslov1"/>
      </w:pPr>
      <w:bookmarkStart w:id="66" w:name="_Toc67"/>
      <w:r>
        <w:t>6. Spremljanje in razvoj ŠP ter priprava samoevalvacijskega poročila</w:t>
      </w:r>
      <w:bookmarkEnd w:id="66"/>
    </w:p>
    <w:p w14:paraId="0E53D021" w14:textId="77777777" w:rsidR="00B63AAA" w:rsidRDefault="00B63AAA">
      <w:pPr>
        <w:sectPr w:rsidR="00B63AAA">
          <w:type w:val="continuous"/>
          <w:pgSz w:w="11905" w:h="16837"/>
          <w:pgMar w:top="1440" w:right="1440" w:bottom="1440" w:left="1440" w:header="720" w:footer="720" w:gutter="0"/>
          <w:cols w:space="720"/>
        </w:sectPr>
      </w:pPr>
    </w:p>
    <w:p w14:paraId="0E53D022" w14:textId="77777777" w:rsidR="00B63AAA" w:rsidRDefault="00B63AAA"/>
    <w:p w14:paraId="0E53D023" w14:textId="77777777" w:rsidR="00B63AAA" w:rsidRDefault="00911C9C">
      <w:pPr>
        <w:pStyle w:val="Naslov2"/>
      </w:pPr>
      <w:bookmarkStart w:id="67" w:name="_Toc68"/>
      <w:r>
        <w:t>Priprava samoevalvacijskega poročila - Deležniki</w:t>
      </w:r>
      <w:bookmarkEnd w:id="67"/>
    </w:p>
    <w:p w14:paraId="0E53D024" w14:textId="77777777" w:rsidR="00B63AAA" w:rsidRDefault="00911C9C">
      <w:r>
        <w:t xml:space="preserve">Katere deležnike in na kakšen način ste vključili v pogovore, razvoj ŠP, načrtovanje ukrepov, spremljanje njihovega uresničevanja ter pripravo samoevalvacijskih poročil? (npr. VŠ učitelje </w:t>
      </w:r>
      <w:r>
        <w:lastRenderedPageBreak/>
        <w:t>in sodelavce, mentorje, študente, alumne, strokovne sodelavce, zunanje sodelavce, delodajalce - tudi v povezavi s praktičnim usposabljanjem, druge deležnike/širše okolje)</w:t>
      </w:r>
    </w:p>
    <w:tbl>
      <w:tblPr>
        <w:tblStyle w:val="box"/>
        <w:tblW w:w="0" w:type="auto"/>
        <w:tblInd w:w="50" w:type="dxa"/>
        <w:tblLook w:val="04A0" w:firstRow="1" w:lastRow="0" w:firstColumn="1" w:lastColumn="0" w:noHBand="0" w:noVBand="1"/>
      </w:tblPr>
      <w:tblGrid>
        <w:gridCol w:w="9075"/>
      </w:tblGrid>
      <w:tr w:rsidR="00B63AAA" w14:paraId="0E53D026" w14:textId="77777777">
        <w:trPr>
          <w:trHeight w:val="800"/>
        </w:trPr>
        <w:tc>
          <w:tcPr>
            <w:tcW w:w="10000" w:type="dxa"/>
          </w:tcPr>
          <w:p w14:paraId="0E53D025" w14:textId="77777777" w:rsidR="00B63AAA" w:rsidRDefault="00911C9C">
            <w:r>
              <w:t>Podatke za samoevalvacijsko poročilo in ogrodje poročila sestavi Univerzitetna služba za doktorski študij (USDŠ), skupaj s predsednikom Programskega sveta Statistika. Univerzitetna služba pozove koordinatorje posameznih modulov, da sestavijo delna poročila za posamezne module, ki jih predsednik Programskega sveta vgradi v končno skupno poročilo. Od študentov in njihovih mentorjev ter koordinatorjev modulov pridobimo tudi podatke o vključenosti doktorandov v raziskovalno dejavnost. Programski svet skupno por</w:t>
            </w:r>
            <w:r>
              <w:t>očilo potrdi, nato pa ga USDŠ pošlje v potrjevanje senatom članic izvajalk programa. Praksa je, da senati članic izvajalk po pregledu samoevalvacijskega poročila pooblastijo Programski svet študija, da sprejme končno verzijo poročila.</w:t>
            </w:r>
          </w:p>
        </w:tc>
      </w:tr>
    </w:tbl>
    <w:p w14:paraId="0E53D027" w14:textId="77777777" w:rsidR="00B63AAA" w:rsidRDefault="00B63AAA">
      <w:pPr>
        <w:sectPr w:rsidR="00B63AAA">
          <w:type w:val="continuous"/>
          <w:pgSz w:w="11905" w:h="16837"/>
          <w:pgMar w:top="1440" w:right="1440" w:bottom="1440" w:left="1440" w:header="720" w:footer="720" w:gutter="0"/>
          <w:cols w:space="720"/>
        </w:sectPr>
      </w:pPr>
    </w:p>
    <w:p w14:paraId="0E53D028" w14:textId="77777777" w:rsidR="00B63AAA" w:rsidRDefault="00B63AAA"/>
    <w:p w14:paraId="0E53D029" w14:textId="77777777" w:rsidR="00B63AAA" w:rsidRDefault="00911C9C">
      <w:pPr>
        <w:pStyle w:val="Naslov2"/>
      </w:pPr>
      <w:bookmarkStart w:id="68" w:name="_Toc69"/>
      <w:r>
        <w:t>Priprava samoevalvacijskega poročila - Postopek priprave</w:t>
      </w:r>
      <w:bookmarkEnd w:id="68"/>
    </w:p>
    <w:p w14:paraId="0E53D02A" w14:textId="77777777" w:rsidR="00B63AAA" w:rsidRDefault="00911C9C">
      <w:r>
        <w:t>Na kratko opišite postopek priprave samoevalvacijskega poročila (Kdo ga je pripravil, kako ste ga obravnavali itd.).</w:t>
      </w:r>
    </w:p>
    <w:tbl>
      <w:tblPr>
        <w:tblStyle w:val="box"/>
        <w:tblW w:w="0" w:type="auto"/>
        <w:tblInd w:w="50" w:type="dxa"/>
        <w:tblLook w:val="04A0" w:firstRow="1" w:lastRow="0" w:firstColumn="1" w:lastColumn="0" w:noHBand="0" w:noVBand="1"/>
      </w:tblPr>
      <w:tblGrid>
        <w:gridCol w:w="9075"/>
      </w:tblGrid>
      <w:tr w:rsidR="00B63AAA" w14:paraId="0E53D02C" w14:textId="77777777">
        <w:trPr>
          <w:trHeight w:val="800"/>
        </w:trPr>
        <w:tc>
          <w:tcPr>
            <w:tcW w:w="10000" w:type="dxa"/>
          </w:tcPr>
          <w:p w14:paraId="0E53D02B" w14:textId="77777777" w:rsidR="00B63AAA" w:rsidRDefault="00911C9C">
            <w:r>
              <w:t>Poročilo sestavi predsednik Programskega sveta v sodelovanju z Univerzitetno službo, koordinatorji modulov do začetka decembra 2025. Člani Programskega sveta dobijo kmalu zatem osnutek, predsednik pa do seje, ki je pravilom sredi decembra, upošteva pripombe. Programski svet po pooblastilu senatov vseh sodelujočih članic sprejme končno samoevalvacijsko poročilo. Predstavniki posameznih članic v Programskem svetu seznanijo senate fakultet članic z ugotovitvami samoevalvacijskega poročila. Programski svet samo</w:t>
            </w:r>
            <w:r>
              <w:t>evalvacijsko poročilo posreduje Univerzitetni službi za kakovost v predpisanih rokih.</w:t>
            </w:r>
          </w:p>
        </w:tc>
      </w:tr>
    </w:tbl>
    <w:p w14:paraId="0E53D02D" w14:textId="77777777" w:rsidR="00B63AAA" w:rsidRDefault="00B63AAA">
      <w:pPr>
        <w:sectPr w:rsidR="00B63AAA">
          <w:type w:val="continuous"/>
          <w:pgSz w:w="11905" w:h="16837"/>
          <w:pgMar w:top="1440" w:right="1440" w:bottom="1440" w:left="1440" w:header="720" w:footer="720" w:gutter="0"/>
          <w:cols w:space="720"/>
        </w:sectPr>
      </w:pPr>
    </w:p>
    <w:p w14:paraId="0E53D02E" w14:textId="77777777" w:rsidR="00B63AAA" w:rsidRDefault="00911C9C">
      <w:pPr>
        <w:pStyle w:val="Naslov1"/>
      </w:pPr>
      <w:bookmarkStart w:id="69" w:name="_Toc70"/>
      <w:r>
        <w:lastRenderedPageBreak/>
        <w:t>Pregled realizacije ukrepov in predlogi izboljšav</w:t>
      </w:r>
      <w:bookmarkEnd w:id="69"/>
    </w:p>
    <w:p w14:paraId="0E53D02F" w14:textId="77777777" w:rsidR="00B63AAA" w:rsidRDefault="00B63AAA">
      <w:pPr>
        <w:sectPr w:rsidR="00B63AAA">
          <w:pgSz w:w="16837" w:h="11905" w:orient="landscape"/>
          <w:pgMar w:top="1440" w:right="1440" w:bottom="1440" w:left="1440" w:header="720" w:footer="720" w:gutter="0"/>
          <w:cols w:space="720"/>
        </w:sectPr>
      </w:pPr>
    </w:p>
    <w:p w14:paraId="0E53D030" w14:textId="77777777" w:rsidR="00B63AAA" w:rsidRDefault="00B63AAA"/>
    <w:tbl>
      <w:tblPr>
        <w:tblStyle w:val="table"/>
        <w:tblW w:w="0" w:type="auto"/>
        <w:tblInd w:w="50" w:type="dxa"/>
        <w:tblLook w:val="04A0" w:firstRow="1" w:lastRow="0" w:firstColumn="1" w:lastColumn="0" w:noHBand="0" w:noVBand="1"/>
      </w:tblPr>
      <w:tblGrid>
        <w:gridCol w:w="638"/>
        <w:gridCol w:w="4472"/>
        <w:gridCol w:w="4440"/>
        <w:gridCol w:w="4457"/>
      </w:tblGrid>
      <w:tr w:rsidR="00B63AAA" w14:paraId="0E53D035" w14:textId="77777777">
        <w:trPr>
          <w:trHeight w:val="300"/>
        </w:trPr>
        <w:tc>
          <w:tcPr>
            <w:tcW w:w="500" w:type="dxa"/>
            <w:shd w:val="clear" w:color="auto" w:fill="F5F5F5"/>
          </w:tcPr>
          <w:p w14:paraId="0E53D031" w14:textId="77777777" w:rsidR="00B63AAA" w:rsidRDefault="00911C9C">
            <w:r>
              <w:rPr>
                <w:b/>
                <w:bCs/>
              </w:rPr>
              <w:t xml:space="preserve"> Št. pogl-avja</w:t>
            </w:r>
          </w:p>
        </w:tc>
        <w:tc>
          <w:tcPr>
            <w:tcW w:w="4600" w:type="dxa"/>
            <w:shd w:val="clear" w:color="auto" w:fill="F5F5F5"/>
          </w:tcPr>
          <w:p w14:paraId="0E53D032" w14:textId="77777777" w:rsidR="00B63AAA" w:rsidRDefault="00911C9C">
            <w:r>
              <w:rPr>
                <w:b/>
                <w:bCs/>
              </w:rPr>
              <w:t>Ukrepi iz predhodne samoevalvacije</w:t>
            </w:r>
          </w:p>
        </w:tc>
        <w:tc>
          <w:tcPr>
            <w:tcW w:w="4600" w:type="dxa"/>
            <w:shd w:val="clear" w:color="auto" w:fill="F5F5F5"/>
          </w:tcPr>
          <w:p w14:paraId="0E53D033" w14:textId="77777777" w:rsidR="00B63AAA" w:rsidRDefault="00911C9C">
            <w:r>
              <w:rPr>
                <w:b/>
                <w:bCs/>
              </w:rPr>
              <w:t>Status ukrepa</w:t>
            </w:r>
          </w:p>
        </w:tc>
        <w:tc>
          <w:tcPr>
            <w:tcW w:w="4600" w:type="dxa"/>
            <w:shd w:val="clear" w:color="auto" w:fill="F5F5F5"/>
          </w:tcPr>
          <w:p w14:paraId="0E53D034" w14:textId="77777777" w:rsidR="00B63AAA" w:rsidRDefault="00911C9C">
            <w:r>
              <w:rPr>
                <w:b/>
                <w:bCs/>
              </w:rPr>
              <w:t>Dodatna obrazložitev statusa</w:t>
            </w:r>
          </w:p>
        </w:tc>
      </w:tr>
      <w:tr w:rsidR="00B63AAA" w14:paraId="0E53D03A" w14:textId="77777777">
        <w:trPr>
          <w:trHeight w:val="300"/>
        </w:trPr>
        <w:tc>
          <w:tcPr>
            <w:tcW w:w="500" w:type="dxa"/>
            <w:shd w:val="clear" w:color="auto" w:fill="F5F5F5"/>
          </w:tcPr>
          <w:p w14:paraId="0E53D036" w14:textId="77777777" w:rsidR="00B63AAA" w:rsidRDefault="00B63AAA"/>
        </w:tc>
        <w:tc>
          <w:tcPr>
            <w:tcW w:w="4600" w:type="dxa"/>
            <w:shd w:val="clear" w:color="auto" w:fill="F5F5F5"/>
          </w:tcPr>
          <w:p w14:paraId="0E53D037" w14:textId="77777777" w:rsidR="00B63AAA" w:rsidRDefault="00B63AAA"/>
        </w:tc>
        <w:tc>
          <w:tcPr>
            <w:tcW w:w="4600" w:type="dxa"/>
            <w:shd w:val="clear" w:color="auto" w:fill="F5F5F5"/>
          </w:tcPr>
          <w:p w14:paraId="0E53D038" w14:textId="77777777" w:rsidR="00B63AAA" w:rsidRDefault="00B63AAA"/>
        </w:tc>
        <w:tc>
          <w:tcPr>
            <w:tcW w:w="4600" w:type="dxa"/>
            <w:shd w:val="clear" w:color="auto" w:fill="F5F5F5"/>
          </w:tcPr>
          <w:p w14:paraId="0E53D039" w14:textId="77777777" w:rsidR="00B63AAA" w:rsidRDefault="00B63AAA"/>
        </w:tc>
      </w:tr>
      <w:tr w:rsidR="00B63AAA" w14:paraId="0E53D03F" w14:textId="77777777">
        <w:trPr>
          <w:trHeight w:val="300"/>
        </w:trPr>
        <w:tc>
          <w:tcPr>
            <w:tcW w:w="500" w:type="dxa"/>
          </w:tcPr>
          <w:p w14:paraId="0E53D03B" w14:textId="77777777" w:rsidR="00B63AAA" w:rsidRDefault="00911C9C">
            <w:r>
              <w:t>3.</w:t>
            </w:r>
          </w:p>
        </w:tc>
        <w:tc>
          <w:tcPr>
            <w:tcW w:w="4600" w:type="dxa"/>
          </w:tcPr>
          <w:p w14:paraId="0E53D03C" w14:textId="77777777" w:rsidR="00B63AAA" w:rsidRDefault="00911C9C">
            <w:r>
              <w:t>Srečanje z učitelji s področja strojnega učenja, na katerem bi našli najbolj smiseln način vključitve tega področja v študij statistike.</w:t>
            </w:r>
          </w:p>
        </w:tc>
        <w:tc>
          <w:tcPr>
            <w:tcW w:w="4600" w:type="dxa"/>
          </w:tcPr>
          <w:p w14:paraId="0E53D03D" w14:textId="77777777" w:rsidR="00B63AAA" w:rsidRDefault="00911C9C">
            <w:r>
              <w:t>realiziran</w:t>
            </w:r>
          </w:p>
        </w:tc>
        <w:tc>
          <w:tcPr>
            <w:tcW w:w="4600" w:type="dxa"/>
          </w:tcPr>
          <w:p w14:paraId="0E53D03E" w14:textId="77777777" w:rsidR="00B63AAA" w:rsidRDefault="00911C9C">
            <w:r>
              <w:t>Ugotovitev je, da je študente, ki želijo znanja s tega področja, usmerimo na FRI v okviru izbirnosti, ker se tam predmeti izvajajo v obliki kontaktnih ur in so učitelji z največ znanja.</w:t>
            </w:r>
          </w:p>
        </w:tc>
      </w:tr>
      <w:tr w:rsidR="00B63AAA" w14:paraId="0E53D044" w14:textId="77777777">
        <w:trPr>
          <w:trHeight w:val="300"/>
        </w:trPr>
        <w:tc>
          <w:tcPr>
            <w:tcW w:w="500" w:type="dxa"/>
          </w:tcPr>
          <w:p w14:paraId="0E53D040" w14:textId="77777777" w:rsidR="00B63AAA" w:rsidRDefault="00911C9C">
            <w:r>
              <w:t>3.</w:t>
            </w:r>
          </w:p>
        </w:tc>
        <w:tc>
          <w:tcPr>
            <w:tcW w:w="4600" w:type="dxa"/>
          </w:tcPr>
          <w:p w14:paraId="0E53D041" w14:textId="77777777" w:rsidR="00B63AAA" w:rsidRDefault="00911C9C">
            <w:r>
              <w:t>Preverba možnosti sodelovanja kolegov iz tujine pri razvoju obveznega ali modulskega predmeta s tega področja.</w:t>
            </w:r>
          </w:p>
        </w:tc>
        <w:tc>
          <w:tcPr>
            <w:tcW w:w="4600" w:type="dxa"/>
          </w:tcPr>
          <w:p w14:paraId="0E53D042" w14:textId="77777777" w:rsidR="00B63AAA" w:rsidRDefault="00911C9C">
            <w:r>
              <w:t>delno realiziran</w:t>
            </w:r>
          </w:p>
        </w:tc>
        <w:tc>
          <w:tcPr>
            <w:tcW w:w="4600" w:type="dxa"/>
          </w:tcPr>
          <w:p w14:paraId="0E53D043" w14:textId="77777777" w:rsidR="00B63AAA" w:rsidRDefault="00911C9C">
            <w:r>
              <w:t>Učitelji iz tujine so tudi med izvajalci in so tako v preteklosti in zdaj sodelovali pri določanju vsebin programa in razvoju novih predmetov.</w:t>
            </w:r>
          </w:p>
        </w:tc>
      </w:tr>
      <w:tr w:rsidR="00B63AAA" w14:paraId="0E53D049" w14:textId="77777777">
        <w:trPr>
          <w:trHeight w:val="300"/>
        </w:trPr>
        <w:tc>
          <w:tcPr>
            <w:tcW w:w="500" w:type="dxa"/>
          </w:tcPr>
          <w:p w14:paraId="0E53D045" w14:textId="77777777" w:rsidR="00B63AAA" w:rsidRDefault="00911C9C">
            <w:r>
              <w:t>4.</w:t>
            </w:r>
          </w:p>
        </w:tc>
        <w:tc>
          <w:tcPr>
            <w:tcW w:w="4600" w:type="dxa"/>
          </w:tcPr>
          <w:p w14:paraId="0E53D046" w14:textId="77777777" w:rsidR="00B63AAA" w:rsidRDefault="00911C9C">
            <w:r>
              <w:t>S skupnimi službami, ki spremljajo doktorski študij statistike bi se dogovorili, kako obveščati vse mentorje in študente o možnostih financiranja raziskovalnega dela.</w:t>
            </w:r>
          </w:p>
        </w:tc>
        <w:tc>
          <w:tcPr>
            <w:tcW w:w="4600" w:type="dxa"/>
          </w:tcPr>
          <w:p w14:paraId="0E53D047" w14:textId="77777777" w:rsidR="00B63AAA" w:rsidRDefault="00911C9C">
            <w:r>
              <w:t>realiziran</w:t>
            </w:r>
          </w:p>
        </w:tc>
        <w:tc>
          <w:tcPr>
            <w:tcW w:w="4600" w:type="dxa"/>
          </w:tcPr>
          <w:p w14:paraId="0E53D048" w14:textId="77777777" w:rsidR="00B63AAA" w:rsidRDefault="00911C9C">
            <w:r>
              <w:t>Obveščanje je redno in sistematsko.</w:t>
            </w:r>
          </w:p>
        </w:tc>
      </w:tr>
      <w:tr w:rsidR="00B63AAA" w14:paraId="0E53D04E" w14:textId="77777777">
        <w:trPr>
          <w:trHeight w:val="300"/>
        </w:trPr>
        <w:tc>
          <w:tcPr>
            <w:tcW w:w="500" w:type="dxa"/>
          </w:tcPr>
          <w:p w14:paraId="0E53D04A" w14:textId="77777777" w:rsidR="00B63AAA" w:rsidRDefault="00911C9C">
            <w:r>
              <w:t>4.</w:t>
            </w:r>
          </w:p>
        </w:tc>
        <w:tc>
          <w:tcPr>
            <w:tcW w:w="4600" w:type="dxa"/>
          </w:tcPr>
          <w:p w14:paraId="0E53D04B" w14:textId="77777777" w:rsidR="00B63AAA" w:rsidRDefault="00911C9C">
            <w:r>
              <w:t>Preverba možnosti sodelovanja nosilcev in izvajalcev predmetov v okviru študijskega programa v procesu izboljšanja generičnih znanj in spretnosti študentov; diskusija o možnih oblikah (delavnice, seminarji … ).</w:t>
            </w:r>
          </w:p>
        </w:tc>
        <w:tc>
          <w:tcPr>
            <w:tcW w:w="4600" w:type="dxa"/>
          </w:tcPr>
          <w:p w14:paraId="0E53D04C" w14:textId="77777777" w:rsidR="00B63AAA" w:rsidRDefault="00911C9C">
            <w:r>
              <w:t>realiziran</w:t>
            </w:r>
          </w:p>
        </w:tc>
        <w:tc>
          <w:tcPr>
            <w:tcW w:w="4600" w:type="dxa"/>
          </w:tcPr>
          <w:p w14:paraId="0E53D04D" w14:textId="77777777" w:rsidR="00B63AAA" w:rsidRDefault="00911C9C">
            <w:r>
              <w:t>V okviru predmeta Statistični pristopi so predavanja namenjena generičnim znanjem, ki jih izvajajo isti predavatelji kot na nivoju UL.</w:t>
            </w:r>
          </w:p>
        </w:tc>
      </w:tr>
      <w:tr w:rsidR="00B63AAA" w14:paraId="0E53D053" w14:textId="77777777">
        <w:trPr>
          <w:trHeight w:val="300"/>
        </w:trPr>
        <w:tc>
          <w:tcPr>
            <w:tcW w:w="500" w:type="dxa"/>
          </w:tcPr>
          <w:p w14:paraId="0E53D04F" w14:textId="77777777" w:rsidR="00B63AAA" w:rsidRDefault="00911C9C">
            <w:r>
              <w:lastRenderedPageBreak/>
              <w:t>5.a</w:t>
            </w:r>
          </w:p>
        </w:tc>
        <w:tc>
          <w:tcPr>
            <w:tcW w:w="4600" w:type="dxa"/>
          </w:tcPr>
          <w:p w14:paraId="0E53D050" w14:textId="77777777" w:rsidR="00B63AAA" w:rsidRDefault="00911C9C">
            <w:r>
              <w:t>Člani programskega sveta in skupne službe bodo apelirale na vse mentorje, da širijo razpoznavnost študija.  Obstaja predstavitveni video, ki je lahko izhodišče za predstavitev.</w:t>
            </w:r>
          </w:p>
        </w:tc>
        <w:tc>
          <w:tcPr>
            <w:tcW w:w="4600" w:type="dxa"/>
          </w:tcPr>
          <w:p w14:paraId="0E53D051" w14:textId="77777777" w:rsidR="00B63AAA" w:rsidRDefault="00911C9C">
            <w:r>
              <w:t>delno realiziran</w:t>
            </w:r>
          </w:p>
        </w:tc>
        <w:tc>
          <w:tcPr>
            <w:tcW w:w="4600" w:type="dxa"/>
          </w:tcPr>
          <w:p w14:paraId="0E53D052" w14:textId="77777777" w:rsidR="00B63AAA" w:rsidRDefault="00911C9C">
            <w:r>
              <w:t>Mentorji so aktivni pri pridobivanju študentov.  Ugotovitev je, da oglaševanje na mednarodnih platformah nima želenega učinka, koordinatorji modulov pa aktivno predstavlajo študij na informativnih dnevih članic izvajalk.</w:t>
            </w:r>
          </w:p>
        </w:tc>
      </w:tr>
      <w:tr w:rsidR="00B63AAA" w14:paraId="0E53D058" w14:textId="77777777">
        <w:trPr>
          <w:trHeight w:val="300"/>
        </w:trPr>
        <w:tc>
          <w:tcPr>
            <w:tcW w:w="500" w:type="dxa"/>
          </w:tcPr>
          <w:p w14:paraId="0E53D054" w14:textId="77777777" w:rsidR="00B63AAA" w:rsidRDefault="00911C9C">
            <w:r>
              <w:t>5.c</w:t>
            </w:r>
          </w:p>
        </w:tc>
        <w:tc>
          <w:tcPr>
            <w:tcW w:w="4600" w:type="dxa"/>
          </w:tcPr>
          <w:p w14:paraId="0E53D055" w14:textId="77777777" w:rsidR="00B63AAA" w:rsidRDefault="00911C9C">
            <w:r>
              <w:t>S skupnimi službami, ki spremljajo doktorski študij statistike bi se dogovorili, kako obveščati vse mentorje in študente o možnostih financiranja raziskovalnega dela.</w:t>
            </w:r>
          </w:p>
        </w:tc>
        <w:tc>
          <w:tcPr>
            <w:tcW w:w="4600" w:type="dxa"/>
          </w:tcPr>
          <w:p w14:paraId="0E53D056" w14:textId="77777777" w:rsidR="00B63AAA" w:rsidRDefault="00911C9C">
            <w:r>
              <w:t>realiziran</w:t>
            </w:r>
          </w:p>
        </w:tc>
        <w:tc>
          <w:tcPr>
            <w:tcW w:w="4600" w:type="dxa"/>
          </w:tcPr>
          <w:p w14:paraId="0E53D057" w14:textId="77777777" w:rsidR="00B63AAA" w:rsidRDefault="00911C9C">
            <w:r>
              <w:t>Obveščanje je redno in sistematsko.</w:t>
            </w:r>
          </w:p>
        </w:tc>
      </w:tr>
      <w:tr w:rsidR="00B63AAA" w14:paraId="0E53D05D" w14:textId="77777777">
        <w:trPr>
          <w:trHeight w:val="300"/>
        </w:trPr>
        <w:tc>
          <w:tcPr>
            <w:tcW w:w="500" w:type="dxa"/>
          </w:tcPr>
          <w:p w14:paraId="0E53D059" w14:textId="77777777" w:rsidR="00B63AAA" w:rsidRDefault="00B63AAA"/>
        </w:tc>
        <w:tc>
          <w:tcPr>
            <w:tcW w:w="4600" w:type="dxa"/>
          </w:tcPr>
          <w:p w14:paraId="0E53D05A" w14:textId="77777777" w:rsidR="00B63AAA" w:rsidRDefault="00911C9C">
            <w:r>
              <w:t xml:space="preserve">Preoblikovanje predmeta Sodobni statistični pristopi tako, da v okviru predmeta ne bi bilo treba opravljati statističnega svetovanja podjetjem. To bi rešili tako, da bi uvedli seminar, ki bi bil obvezen za študente programa Statistika in v okviru katerega bi študenti opravljali statistično svetovanje za podjetja. </w:t>
            </w:r>
          </w:p>
        </w:tc>
        <w:tc>
          <w:tcPr>
            <w:tcW w:w="4600" w:type="dxa"/>
          </w:tcPr>
          <w:p w14:paraId="0E53D05B" w14:textId="77777777" w:rsidR="00B63AAA" w:rsidRDefault="00911C9C">
            <w:r>
              <w:t>realiziran</w:t>
            </w:r>
          </w:p>
        </w:tc>
        <w:tc>
          <w:tcPr>
            <w:tcW w:w="4600" w:type="dxa"/>
          </w:tcPr>
          <w:p w14:paraId="0E53D05C" w14:textId="77777777" w:rsidR="00B63AAA" w:rsidRDefault="00911C9C">
            <w:r>
              <w:t>Ta sprememba programa je stopila v veljavo z akademskim letom 2025/2026.</w:t>
            </w:r>
          </w:p>
        </w:tc>
      </w:tr>
    </w:tbl>
    <w:p w14:paraId="0E53D05E" w14:textId="77777777" w:rsidR="00B63AAA" w:rsidRDefault="00B63AAA">
      <w:pPr>
        <w:sectPr w:rsidR="00B63AAA">
          <w:type w:val="continuous"/>
          <w:pgSz w:w="16837" w:h="11905" w:orient="landscape"/>
          <w:pgMar w:top="1440" w:right="1440" w:bottom="1440" w:left="1440" w:header="720" w:footer="720" w:gutter="0"/>
          <w:cols w:space="720"/>
        </w:sectPr>
      </w:pPr>
    </w:p>
    <w:p w14:paraId="0E53D05F" w14:textId="77777777" w:rsidR="00B63AAA" w:rsidRDefault="00B63AAA"/>
    <w:tbl>
      <w:tblPr>
        <w:tblStyle w:val="table"/>
        <w:tblW w:w="0" w:type="auto"/>
        <w:tblInd w:w="50" w:type="dxa"/>
        <w:tblLook w:val="04A0" w:firstRow="1" w:lastRow="0" w:firstColumn="1" w:lastColumn="0" w:noHBand="0" w:noVBand="1"/>
      </w:tblPr>
      <w:tblGrid>
        <w:gridCol w:w="7002"/>
        <w:gridCol w:w="7005"/>
      </w:tblGrid>
      <w:tr w:rsidR="00B63AAA" w14:paraId="0E53D062" w14:textId="77777777">
        <w:trPr>
          <w:trHeight w:val="300"/>
        </w:trPr>
        <w:tc>
          <w:tcPr>
            <w:tcW w:w="7150" w:type="dxa"/>
            <w:shd w:val="clear" w:color="auto" w:fill="F5F5F5"/>
          </w:tcPr>
          <w:p w14:paraId="0E53D060" w14:textId="77777777" w:rsidR="00B63AAA" w:rsidRDefault="00911C9C">
            <w:r>
              <w:rPr>
                <w:b/>
                <w:bCs/>
              </w:rPr>
              <w:t>Ključne izboljšave in dobre prakse v preteklem obdobju</w:t>
            </w:r>
          </w:p>
        </w:tc>
        <w:tc>
          <w:tcPr>
            <w:tcW w:w="7150" w:type="dxa"/>
            <w:shd w:val="clear" w:color="auto" w:fill="F5F5F5"/>
          </w:tcPr>
          <w:p w14:paraId="0E53D061" w14:textId="77777777" w:rsidR="00B63AAA" w:rsidRDefault="00911C9C">
            <w:r>
              <w:rPr>
                <w:b/>
                <w:bCs/>
              </w:rPr>
              <w:t>Obrazložitev vpliva na kakovost</w:t>
            </w:r>
          </w:p>
        </w:tc>
      </w:tr>
      <w:tr w:rsidR="00B63AAA" w14:paraId="0E53D065" w14:textId="77777777">
        <w:trPr>
          <w:trHeight w:val="300"/>
        </w:trPr>
        <w:tc>
          <w:tcPr>
            <w:tcW w:w="7150" w:type="dxa"/>
            <w:shd w:val="clear" w:color="auto" w:fill="F5F5F5"/>
          </w:tcPr>
          <w:p w14:paraId="0E53D063" w14:textId="77777777" w:rsidR="00B63AAA" w:rsidRDefault="00911C9C">
            <w:r>
              <w:rPr>
                <w:i/>
                <w:iCs/>
                <w:sz w:val="18"/>
                <w:szCs w:val="18"/>
              </w:rPr>
              <w:t>navedite tudi morebitne druge ukrepe, ki ste jih izvedli že med študijskim letom na podlagi identificiranih pomanjkljivosti</w:t>
            </w:r>
          </w:p>
        </w:tc>
        <w:tc>
          <w:tcPr>
            <w:tcW w:w="7150" w:type="dxa"/>
            <w:shd w:val="clear" w:color="auto" w:fill="F5F5F5"/>
          </w:tcPr>
          <w:p w14:paraId="0E53D064" w14:textId="77777777" w:rsidR="00B63AAA" w:rsidRDefault="00B63AAA"/>
        </w:tc>
      </w:tr>
      <w:tr w:rsidR="00B63AAA" w14:paraId="0E53D068" w14:textId="77777777">
        <w:trPr>
          <w:trHeight w:val="300"/>
        </w:trPr>
        <w:tc>
          <w:tcPr>
            <w:tcW w:w="7150" w:type="dxa"/>
          </w:tcPr>
          <w:p w14:paraId="0E53D066" w14:textId="77777777" w:rsidR="00B63AAA" w:rsidRDefault="00B63AAA"/>
        </w:tc>
        <w:tc>
          <w:tcPr>
            <w:tcW w:w="7150" w:type="dxa"/>
          </w:tcPr>
          <w:p w14:paraId="0E53D067" w14:textId="77777777" w:rsidR="00B63AAA" w:rsidRDefault="00B63AAA"/>
        </w:tc>
      </w:tr>
    </w:tbl>
    <w:p w14:paraId="0E53D069" w14:textId="77777777" w:rsidR="00B63AAA" w:rsidRDefault="00B63AAA">
      <w:pPr>
        <w:sectPr w:rsidR="00B63AAA">
          <w:type w:val="continuous"/>
          <w:pgSz w:w="16837" w:h="11905" w:orient="landscape"/>
          <w:pgMar w:top="1440" w:right="1440" w:bottom="1440" w:left="1440" w:header="720" w:footer="720" w:gutter="0"/>
          <w:cols w:space="720"/>
        </w:sectPr>
      </w:pPr>
    </w:p>
    <w:p w14:paraId="0E53D06A" w14:textId="77777777" w:rsidR="00B63AAA" w:rsidRDefault="00B63AAA"/>
    <w:tbl>
      <w:tblPr>
        <w:tblStyle w:val="table"/>
        <w:tblW w:w="0" w:type="auto"/>
        <w:tblInd w:w="50" w:type="dxa"/>
        <w:tblLook w:val="04A0" w:firstRow="1" w:lastRow="0" w:firstColumn="1" w:lastColumn="0" w:noHBand="0" w:noVBand="1"/>
      </w:tblPr>
      <w:tblGrid>
        <w:gridCol w:w="638"/>
        <w:gridCol w:w="2244"/>
        <w:gridCol w:w="2231"/>
        <w:gridCol w:w="2213"/>
        <w:gridCol w:w="2220"/>
        <w:gridCol w:w="2229"/>
        <w:gridCol w:w="2232"/>
      </w:tblGrid>
      <w:tr w:rsidR="00B63AAA" w14:paraId="0E53D072" w14:textId="77777777">
        <w:trPr>
          <w:trHeight w:val="300"/>
        </w:trPr>
        <w:tc>
          <w:tcPr>
            <w:tcW w:w="500" w:type="dxa"/>
            <w:shd w:val="clear" w:color="auto" w:fill="F5F5F5"/>
          </w:tcPr>
          <w:p w14:paraId="0E53D06B" w14:textId="77777777" w:rsidR="00B63AAA" w:rsidRDefault="00911C9C">
            <w:r>
              <w:rPr>
                <w:b/>
                <w:bCs/>
              </w:rPr>
              <w:lastRenderedPageBreak/>
              <w:t>Št. pogl-avja</w:t>
            </w:r>
          </w:p>
        </w:tc>
        <w:tc>
          <w:tcPr>
            <w:tcW w:w="2300" w:type="dxa"/>
            <w:shd w:val="clear" w:color="auto" w:fill="F5F5F5"/>
          </w:tcPr>
          <w:p w14:paraId="0E53D06C" w14:textId="77777777" w:rsidR="00B63AAA" w:rsidRDefault="00911C9C">
            <w:r>
              <w:rPr>
                <w:b/>
                <w:bCs/>
              </w:rPr>
              <w:t>Priložnosti za izboljšave</w:t>
            </w:r>
          </w:p>
        </w:tc>
        <w:tc>
          <w:tcPr>
            <w:tcW w:w="2300" w:type="dxa"/>
            <w:shd w:val="clear" w:color="auto" w:fill="F5F5F5"/>
          </w:tcPr>
          <w:p w14:paraId="0E53D06D" w14:textId="77777777" w:rsidR="00B63AAA" w:rsidRDefault="00911C9C">
            <w:r>
              <w:rPr>
                <w:b/>
                <w:bCs/>
              </w:rPr>
              <w:t>Ključne slabosti</w:t>
            </w:r>
          </w:p>
        </w:tc>
        <w:tc>
          <w:tcPr>
            <w:tcW w:w="2300" w:type="dxa"/>
            <w:shd w:val="clear" w:color="auto" w:fill="F5F5F5"/>
          </w:tcPr>
          <w:p w14:paraId="0E53D06E" w14:textId="77777777" w:rsidR="00B63AAA" w:rsidRDefault="00911C9C">
            <w:r>
              <w:rPr>
                <w:b/>
                <w:bCs/>
              </w:rPr>
              <w:t>Ključne nevarnosti</w:t>
            </w:r>
          </w:p>
        </w:tc>
        <w:tc>
          <w:tcPr>
            <w:tcW w:w="2300" w:type="dxa"/>
            <w:shd w:val="clear" w:color="auto" w:fill="F5F5F5"/>
          </w:tcPr>
          <w:p w14:paraId="0E53D06F" w14:textId="77777777" w:rsidR="00B63AAA" w:rsidRDefault="00911C9C">
            <w:r>
              <w:rPr>
                <w:b/>
                <w:bCs/>
              </w:rPr>
              <w:t>Cilj (i)</w:t>
            </w:r>
          </w:p>
        </w:tc>
        <w:tc>
          <w:tcPr>
            <w:tcW w:w="2300" w:type="dxa"/>
            <w:shd w:val="clear" w:color="auto" w:fill="F5F5F5"/>
          </w:tcPr>
          <w:p w14:paraId="0E53D070" w14:textId="77777777" w:rsidR="00B63AAA" w:rsidRDefault="00911C9C">
            <w:r>
              <w:rPr>
                <w:b/>
                <w:bCs/>
              </w:rPr>
              <w:t>Predlogi ukrepov**</w:t>
            </w:r>
          </w:p>
        </w:tc>
        <w:tc>
          <w:tcPr>
            <w:tcW w:w="2300" w:type="dxa"/>
            <w:shd w:val="clear" w:color="auto" w:fill="F5F5F5"/>
          </w:tcPr>
          <w:p w14:paraId="0E53D071" w14:textId="77777777" w:rsidR="00B63AAA" w:rsidRDefault="00911C9C">
            <w:r>
              <w:rPr>
                <w:b/>
                <w:bCs/>
              </w:rPr>
              <w:t>Odgovornost znotraj članice</w:t>
            </w:r>
          </w:p>
        </w:tc>
      </w:tr>
      <w:tr w:rsidR="00B63AAA" w14:paraId="0E53D07A" w14:textId="77777777">
        <w:trPr>
          <w:trHeight w:val="300"/>
        </w:trPr>
        <w:tc>
          <w:tcPr>
            <w:tcW w:w="500" w:type="dxa"/>
            <w:shd w:val="clear" w:color="auto" w:fill="F5F5F5"/>
          </w:tcPr>
          <w:p w14:paraId="0E53D073" w14:textId="77777777" w:rsidR="00B63AAA" w:rsidRDefault="00B63AAA"/>
        </w:tc>
        <w:tc>
          <w:tcPr>
            <w:tcW w:w="2300" w:type="dxa"/>
            <w:shd w:val="clear" w:color="auto" w:fill="F5F5F5"/>
          </w:tcPr>
          <w:p w14:paraId="0E53D074" w14:textId="77777777" w:rsidR="00B63AAA" w:rsidRDefault="00911C9C">
            <w:r>
              <w:rPr>
                <w:i/>
                <w:iCs/>
                <w:sz w:val="18"/>
                <w:szCs w:val="18"/>
              </w:rPr>
              <w:t>priložnosti za izboljšave, ki ste jih zaznali v poročilu; predstavljajo izhodišče za nadaljnjo opredelitev slabosti/nevarnosti, postavljanje ciljev in oblikovanje ukrepov</w:t>
            </w:r>
          </w:p>
        </w:tc>
        <w:tc>
          <w:tcPr>
            <w:tcW w:w="2300" w:type="dxa"/>
            <w:shd w:val="clear" w:color="auto" w:fill="F5F5F5"/>
          </w:tcPr>
          <w:p w14:paraId="0E53D075" w14:textId="77777777" w:rsidR="00B63AAA" w:rsidRDefault="00911C9C">
            <w:r>
              <w:rPr>
                <w:i/>
                <w:iCs/>
                <w:sz w:val="18"/>
                <w:szCs w:val="18"/>
              </w:rPr>
              <w:t>slabosti so dejavniki znotraj organizacije*, ki negativno vplivajo na izvajanje nalog oz. doseganje ciljev študijskega programa  (vpišite ključne slabosti ali ključne nevarnosti ali oboje)</w:t>
            </w:r>
          </w:p>
        </w:tc>
        <w:tc>
          <w:tcPr>
            <w:tcW w:w="2300" w:type="dxa"/>
            <w:shd w:val="clear" w:color="auto" w:fill="F5F5F5"/>
          </w:tcPr>
          <w:p w14:paraId="0E53D076" w14:textId="77777777" w:rsidR="00B63AAA" w:rsidRDefault="00911C9C">
            <w:r>
              <w:rPr>
                <w:i/>
                <w:iCs/>
                <w:sz w:val="18"/>
                <w:szCs w:val="18"/>
              </w:rPr>
              <w:t>nevarnosti so dejavniki zunaj organizacije*, ki negativno vplivajo na izvajanje nalog oz. doseganje ciljev študijskega programa (vpišite ključne slabosti ali ključne nevarnosti ali oboje)</w:t>
            </w:r>
          </w:p>
        </w:tc>
        <w:tc>
          <w:tcPr>
            <w:tcW w:w="2300" w:type="dxa"/>
            <w:shd w:val="clear" w:color="auto" w:fill="F5F5F5"/>
          </w:tcPr>
          <w:p w14:paraId="0E53D077" w14:textId="77777777" w:rsidR="00B63AAA" w:rsidRDefault="00911C9C">
            <w:r>
              <w:rPr>
                <w:i/>
                <w:iCs/>
                <w:sz w:val="18"/>
                <w:szCs w:val="18"/>
              </w:rPr>
              <w:t>cilji so končni rezultati, ki jih želimo doseči z načrtovanimi ukrepi; cilje kvantificirajte z dveh vidikov, in sicer tako, da opredelite (1) kaj/koliko in (2) do kdaj je treba predvideni cilj doseči</w:t>
            </w:r>
          </w:p>
        </w:tc>
        <w:tc>
          <w:tcPr>
            <w:tcW w:w="2300" w:type="dxa"/>
            <w:shd w:val="clear" w:color="auto" w:fill="F5F5F5"/>
          </w:tcPr>
          <w:p w14:paraId="0E53D078" w14:textId="77777777" w:rsidR="00B63AAA" w:rsidRDefault="00911C9C">
            <w:r>
              <w:rPr>
                <w:i/>
                <w:iCs/>
                <w:sz w:val="18"/>
                <w:szCs w:val="18"/>
              </w:rPr>
              <w:t>ukrepe zapišite kot konkretne aktivnosti, ki jih je treba izvesti, da se premaknemo iz sedanjega stanja, opisanega v stolpcu Slabosti /Nevarnosti, proti želenemu stanju, opisanemu v stolpcu Cilji</w:t>
            </w:r>
          </w:p>
        </w:tc>
        <w:tc>
          <w:tcPr>
            <w:tcW w:w="2300" w:type="dxa"/>
            <w:shd w:val="clear" w:color="auto" w:fill="F5F5F5"/>
          </w:tcPr>
          <w:p w14:paraId="0E53D079" w14:textId="77777777" w:rsidR="00B63AAA" w:rsidRDefault="00911C9C">
            <w:r>
              <w:rPr>
                <w:i/>
                <w:iCs/>
                <w:sz w:val="18"/>
                <w:szCs w:val="18"/>
              </w:rPr>
              <w:t>primarno odgovornost za izvedbo pripišite konkretni osebi; zapišite ime in priimek osebe ter njeno funkcijo; če je smiselno, na enak način določite tudi morebitno sekundarno odgovornost drugih oseb</w:t>
            </w:r>
          </w:p>
        </w:tc>
      </w:tr>
      <w:tr w:rsidR="00B63AAA" w14:paraId="0E53D082" w14:textId="77777777">
        <w:trPr>
          <w:trHeight w:val="300"/>
        </w:trPr>
        <w:tc>
          <w:tcPr>
            <w:tcW w:w="500" w:type="dxa"/>
          </w:tcPr>
          <w:p w14:paraId="0E53D07B" w14:textId="77777777" w:rsidR="00B63AAA" w:rsidRDefault="00911C9C">
            <w:r>
              <w:t>5.c</w:t>
            </w:r>
          </w:p>
        </w:tc>
        <w:tc>
          <w:tcPr>
            <w:tcW w:w="2300" w:type="dxa"/>
          </w:tcPr>
          <w:p w14:paraId="0E53D07C" w14:textId="77777777" w:rsidR="00B63AAA" w:rsidRDefault="00911C9C">
            <w:r>
              <w:t>Možnost bolj sistematskega vzpodbujanja študentov je kreditno ovrednotenje obiskov konferenc ali poletnih šol. Ta možnost je na ravni razprave na Programskem svetu, tako v smislu izvedbe kot tudi morebitnega financiranja s strani študijskega programa.</w:t>
            </w:r>
          </w:p>
        </w:tc>
        <w:tc>
          <w:tcPr>
            <w:tcW w:w="2300" w:type="dxa"/>
          </w:tcPr>
          <w:p w14:paraId="0E53D07D" w14:textId="77777777" w:rsidR="00B63AAA" w:rsidRDefault="00911C9C">
            <w:r>
              <w:t xml:space="preserve">Vsi učitelji so habilitirani učitelji UL z dolgoletnimi pedagoškimi  in raziskovalnimi izkušnjami. Služba za doktorski študij na Univerzi vedno prejema samo pohvale s strani učiteljev in študentov. Stvari so organizacijsko in kadrovsko odlično postavljene, ker pa se od njih zahteva vedno več, bo najbrž treba razmišljati o </w:t>
            </w:r>
            <w:r>
              <w:lastRenderedPageBreak/>
              <w:t xml:space="preserve">kadrovskih okrepitvah. </w:t>
            </w:r>
          </w:p>
        </w:tc>
        <w:tc>
          <w:tcPr>
            <w:tcW w:w="2300" w:type="dxa"/>
          </w:tcPr>
          <w:p w14:paraId="0E53D07E" w14:textId="77777777" w:rsidR="00B63AAA" w:rsidRDefault="00911C9C">
            <w:r>
              <w:lastRenderedPageBreak/>
              <w:t>Preučiti je treba, da je financiranje iz rezerv možno in vzdržno. Poleg tega bodo spremembe ZViS-1 korenito spremenile izvajanje doktorskih programov in njihovega financiranja, tako da je tak predlog vprašljiv tudi s tega vidika.</w:t>
            </w:r>
          </w:p>
        </w:tc>
        <w:tc>
          <w:tcPr>
            <w:tcW w:w="2300" w:type="dxa"/>
          </w:tcPr>
          <w:p w14:paraId="0E53D07F" w14:textId="77777777" w:rsidR="00B63AAA" w:rsidRDefault="00911C9C">
            <w:r>
              <w:t>Želja je, da bi študentom omogočili vstop v svet mednarodne izmenjave raziskovalnih rezultatov in kreditno nagradili bolj prodorne študente programa.</w:t>
            </w:r>
          </w:p>
        </w:tc>
        <w:tc>
          <w:tcPr>
            <w:tcW w:w="2300" w:type="dxa"/>
          </w:tcPr>
          <w:p w14:paraId="0E53D080" w14:textId="77777777" w:rsidR="00B63AAA" w:rsidRDefault="00911C9C">
            <w:r>
              <w:t>Predlog je na ravni razprave na Programskem svetu.  Ta bo, ko bodo bolj jasni učinki sprememb ZViS-1, senatom članic izvajalk posredoval ustrezen predlog, ki bi bil v tem trenutku preuranjen.</w:t>
            </w:r>
          </w:p>
        </w:tc>
        <w:tc>
          <w:tcPr>
            <w:tcW w:w="2300" w:type="dxa"/>
          </w:tcPr>
          <w:p w14:paraId="0E53D081" w14:textId="77777777" w:rsidR="00B63AAA" w:rsidRDefault="00911C9C">
            <w:r>
              <w:t>izr. prof. Mihael Perman, predsednik programskega sveta</w:t>
            </w:r>
          </w:p>
        </w:tc>
      </w:tr>
    </w:tbl>
    <w:p w14:paraId="0E53D083" w14:textId="77777777" w:rsidR="00911C9C" w:rsidRDefault="00911C9C"/>
    <w:sectPr w:rsidR="00911C9C">
      <w:type w:val="continuous"/>
      <w:pgSz w:w="16837" w:h="11905"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4336" w14:textId="77777777" w:rsidR="00911C9C" w:rsidRDefault="00911C9C">
      <w:pPr>
        <w:spacing w:after="0" w:line="240" w:lineRule="auto"/>
      </w:pPr>
      <w:r>
        <w:separator/>
      </w:r>
    </w:p>
  </w:endnote>
  <w:endnote w:type="continuationSeparator" w:id="0">
    <w:p w14:paraId="09407BDC" w14:textId="77777777" w:rsidR="00911C9C" w:rsidRDefault="0091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D084" w14:textId="0C04C5B4" w:rsidR="00B63AAA" w:rsidRDefault="00911C9C">
    <w:pPr>
      <w:jc w:val="right"/>
    </w:pPr>
    <w:r>
      <w:fldChar w:fldCharType="begin"/>
    </w:r>
    <w:r>
      <w:instrText>PAGE</w:instrText>
    </w:r>
    <w:r>
      <w:fldChar w:fldCharType="separate"/>
    </w:r>
    <w:r w:rsidR="00281C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0F30" w14:textId="77777777" w:rsidR="00911C9C" w:rsidRDefault="00911C9C">
      <w:pPr>
        <w:spacing w:after="0" w:line="240" w:lineRule="auto"/>
      </w:pPr>
      <w:r>
        <w:separator/>
      </w:r>
    </w:p>
  </w:footnote>
  <w:footnote w:type="continuationSeparator" w:id="0">
    <w:p w14:paraId="5DB9A93F" w14:textId="77777777" w:rsidR="00911C9C" w:rsidRDefault="00911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9B1F30"/>
    <w:multiLevelType w:val="multilevel"/>
    <w:tmpl w:val="80129472"/>
    <w:lvl w:ilvl="0">
      <w:start w:val="1"/>
      <w:numFmt w:val="decimal"/>
      <w:pStyle w:val="Naslov1"/>
      <w:lvlText w:val=""/>
      <w:lvlJc w:val="left"/>
      <w:pPr>
        <w:tabs>
          <w:tab w:val="num" w:pos="0"/>
        </w:tabs>
      </w:pPr>
    </w:lvl>
    <w:lvl w:ilvl="1">
      <w:start w:val="1"/>
      <w:numFmt w:val="decimal"/>
      <w:pStyle w:val="Naslov2"/>
      <w:lvlText w:val="%2."/>
      <w:lvlJc w:val="left"/>
      <w:pPr>
        <w:tabs>
          <w:tab w:val="num" w:pos="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204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AAA"/>
    <w:rsid w:val="00281CA5"/>
    <w:rsid w:val="00911C9C"/>
    <w:rsid w:val="009D2ADC"/>
    <w:rsid w:val="00B63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CDC4"/>
  <w15:docId w15:val="{C18D8FBF-5FDB-47E2-B6F4-CC3EE219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SI" w:eastAsia="sl-S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uiPriority w:val="9"/>
    <w:qFormat/>
    <w:pPr>
      <w:numPr>
        <w:numId w:val="1"/>
      </w:numPr>
      <w:spacing w:after="0"/>
      <w:outlineLvl w:val="0"/>
    </w:pPr>
    <w:rPr>
      <w:b/>
      <w:bCs/>
      <w:sz w:val="30"/>
      <w:szCs w:val="30"/>
    </w:rPr>
  </w:style>
  <w:style w:type="paragraph" w:styleId="Naslov2">
    <w:name w:val="heading 2"/>
    <w:basedOn w:val="Navaden"/>
    <w:uiPriority w:val="9"/>
    <w:unhideWhenUsed/>
    <w:qFormat/>
    <w:pPr>
      <w:numPr>
        <w:ilvl w:val="1"/>
        <w:numId w:val="1"/>
      </w:numPr>
      <w:spacing w:after="0"/>
      <w:outlineLvl w:val="1"/>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protnaopomba-sklic">
    <w:name w:val="footnote reference"/>
    <w:semiHidden/>
    <w:unhideWhenUsed/>
    <w:rPr>
      <w:vertAlign w:val="superscript"/>
    </w:rPr>
  </w:style>
  <w:style w:type="table" w:customStyle="1" w:styleId="box">
    <w:name w:val="box"/>
    <w:uiPriority w:val="99"/>
    <w:tblPr>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CellMar>
        <w:top w:w="50" w:type="dxa"/>
        <w:left w:w="50" w:type="dxa"/>
        <w:bottom w:w="50" w:type="dxa"/>
        <w:right w:w="50" w:type="dxa"/>
      </w:tblCellMar>
    </w:tblPr>
  </w:style>
  <w:style w:type="table" w:customStyle="1" w:styleId="table">
    <w:name w:val="table"/>
    <w:uiPriority w:val="99"/>
    <w:tblPr>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CellMar>
        <w:top w:w="50" w:type="dxa"/>
        <w:left w:w="50" w:type="dxa"/>
        <w:bottom w:w="50" w:type="dxa"/>
        <w:right w:w="50" w:type="dxa"/>
      </w:tblCellMar>
    </w:tblPr>
  </w:style>
  <w:style w:type="table" w:customStyle="1" w:styleId="imageholder">
    <w:name w:val="image_holder"/>
    <w:uiPriority w:val="99"/>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50" w:type="dxa"/>
        <w:left w:w="150" w:type="dxa"/>
        <w:bottom w:w="150" w:type="dxa"/>
        <w:right w:w="150" w:type="dxa"/>
      </w:tblCellMar>
    </w:tblPr>
  </w:style>
  <w:style w:type="character" w:customStyle="1" w:styleId="CaptionFontStyle">
    <w:name w:val="CaptionFontStyle"/>
    <w:rPr>
      <w:color w:val="999999"/>
      <w:sz w:val="16"/>
      <w:szCs w:val="16"/>
    </w:rPr>
  </w:style>
  <w:style w:type="paragraph" w:customStyle="1" w:styleId="SpacingTableCaption">
    <w:name w:val="SpacingTableCaption"/>
    <w:basedOn w:val="Navaden"/>
    <w:pPr>
      <w:spacing w:before="200" w:after="0" w:line="240" w:lineRule="auto"/>
    </w:pPr>
  </w:style>
  <w:style w:type="paragraph" w:customStyle="1" w:styleId="NoSpacing">
    <w:name w:val="NoSpacing"/>
    <w:basedOn w:val="Nava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deusto.org/tuningeu/tuning-methodolo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ocanje.uni-lj.si/samoevalvacija/faq"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epius.si/wp-content/uploads/2014/02/Internacionalizacija-kurikuluma_NE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ua.eu/downloads/publications/student-centred%20learning_approaches%20to%20quality%20assurance%20report.pdf"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kvis.si/wp-content/uploads/2018/11/Slovenski-prevod-ESG-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9DC10BB22DEF49AEF2037D537D482B" ma:contentTypeVersion="2" ma:contentTypeDescription="Ustvari nov dokument." ma:contentTypeScope="" ma:versionID="e9367427d143067ffd96e157cbf642c9">
  <xsd:schema xmlns:xsd="http://www.w3.org/2001/XMLSchema" xmlns:xs="http://www.w3.org/2001/XMLSchema" xmlns:p="http://schemas.microsoft.com/office/2006/metadata/properties" xmlns:ns2="0f48a8d7-1ac6-4eb8-9b15-9ca601ca4102" targetNamespace="http://schemas.microsoft.com/office/2006/metadata/properties" ma:root="true" ma:fieldsID="a5a0c442ed6a857761e77a85f96b0922" ns2:_="">
    <xsd:import namespace="0f48a8d7-1ac6-4eb8-9b15-9ca601ca410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8a8d7-1ac6-4eb8-9b15-9ca601ca4102"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55EBC-2E79-4F69-AC9F-EB23E50AE934}">
  <ds:schemaRefs>
    <ds:schemaRef ds:uri="http://schemas.microsoft.com/sharepoint/v3/contenttype/forms"/>
  </ds:schemaRefs>
</ds:datastoreItem>
</file>

<file path=customXml/itemProps2.xml><?xml version="1.0" encoding="utf-8"?>
<ds:datastoreItem xmlns:ds="http://schemas.openxmlformats.org/officeDocument/2006/customXml" ds:itemID="{DC0F2BA0-8587-44E7-95CE-9695C25F6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8a8d7-1ac6-4eb8-9b15-9ca601ca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DE315-5441-4246-A70C-E2CD566560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8519</Words>
  <Characters>48560</Characters>
  <Application>Microsoft Office Word</Application>
  <DocSecurity>0</DocSecurity>
  <Lines>404</Lines>
  <Paragraphs>113</Paragraphs>
  <ScaleCrop>false</ScaleCrop>
  <Manager/>
  <Company/>
  <LinksUpToDate>false</LinksUpToDate>
  <CharactersWithSpaces>56966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Mikloš Tomažin, Jelena</cp:lastModifiedBy>
  <cp:revision>2</cp:revision>
  <dcterms:created xsi:type="dcterms:W3CDTF">2026-03-06T08:32:00Z</dcterms:created>
  <dcterms:modified xsi:type="dcterms:W3CDTF">2026-03-06T08:35:00Z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0x010100949DC10BB22DEF49AEF2037D537D482B</vt:lpwstr>
  </property>
</Properties>
</file>