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38" w:rsidRPr="00146D38" w:rsidRDefault="00146D38" w:rsidP="00146D38">
      <w:pPr>
        <w:pStyle w:val="xmsonormal"/>
        <w:jc w:val="both"/>
        <w:rPr>
          <w:rFonts w:ascii="Garamond" w:hAnsi="Garamond"/>
          <w:b/>
          <w:bCs/>
          <w:sz w:val="24"/>
          <w:szCs w:val="24"/>
        </w:rPr>
      </w:pP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b/>
          <w:bCs/>
          <w:sz w:val="24"/>
          <w:szCs w:val="24"/>
        </w:rPr>
      </w:pPr>
    </w:p>
    <w:p w:rsidR="00146D38" w:rsidRPr="00146D38" w:rsidRDefault="00146D38" w:rsidP="00146D38">
      <w:pPr>
        <w:pStyle w:val="xmsonormal"/>
        <w:jc w:val="center"/>
        <w:rPr>
          <w:rFonts w:ascii="Garamond" w:hAnsi="Garamond"/>
          <w:sz w:val="24"/>
          <w:szCs w:val="24"/>
        </w:rPr>
      </w:pPr>
      <w:r w:rsidRPr="00146D38">
        <w:rPr>
          <w:rFonts w:ascii="Garamond" w:hAnsi="Garamond"/>
          <w:b/>
          <w:bCs/>
          <w:sz w:val="24"/>
          <w:szCs w:val="24"/>
        </w:rPr>
        <w:t>Univerza v Ljubljani gosti sreča</w:t>
      </w:r>
      <w:r w:rsidR="0059673F">
        <w:rPr>
          <w:rFonts w:ascii="Garamond" w:hAnsi="Garamond"/>
          <w:b/>
          <w:bCs/>
          <w:sz w:val="24"/>
          <w:szCs w:val="24"/>
        </w:rPr>
        <w:t xml:space="preserve">nje Lige evropskih raziskovalno </w:t>
      </w:r>
      <w:r w:rsidRPr="00146D38">
        <w:rPr>
          <w:rFonts w:ascii="Garamond" w:hAnsi="Garamond"/>
          <w:b/>
          <w:bCs/>
          <w:sz w:val="24"/>
          <w:szCs w:val="24"/>
        </w:rPr>
        <w:t>intenzivnih univerz</w:t>
      </w: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  <w:r w:rsidRPr="00146D38">
        <w:rPr>
          <w:rFonts w:ascii="Garamond" w:hAnsi="Garamond"/>
          <w:sz w:val="24"/>
          <w:szCs w:val="24"/>
        </w:rPr>
        <w:t> </w:t>
      </w: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Ljubljana, 11. marec</w:t>
      </w:r>
      <w:r w:rsidRPr="00146D38">
        <w:rPr>
          <w:rFonts w:ascii="Garamond" w:hAnsi="Garamond"/>
          <w:sz w:val="24"/>
          <w:szCs w:val="24"/>
        </w:rPr>
        <w:t xml:space="preserve"> 2022</w:t>
      </w:r>
      <w:r>
        <w:rPr>
          <w:rFonts w:ascii="Garamond" w:hAnsi="Garamond"/>
          <w:sz w:val="24"/>
          <w:szCs w:val="24"/>
        </w:rPr>
        <w:t xml:space="preserve"> </w:t>
      </w:r>
      <w:r w:rsidRPr="00146D38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R</w:t>
      </w:r>
      <w:r w:rsidRPr="00146D38">
        <w:rPr>
          <w:rFonts w:ascii="Garamond" w:hAnsi="Garamond"/>
          <w:sz w:val="24"/>
          <w:szCs w:val="24"/>
        </w:rPr>
        <w:t xml:space="preserve">ektor Univerze v Ljubljani prof. dr. Gregor Majdič bo </w:t>
      </w:r>
      <w:r>
        <w:rPr>
          <w:rFonts w:ascii="Garamond" w:hAnsi="Garamond"/>
          <w:sz w:val="24"/>
          <w:szCs w:val="24"/>
        </w:rPr>
        <w:t>12. marca 2022</w:t>
      </w:r>
      <w:r w:rsidRPr="00146D38">
        <w:rPr>
          <w:rFonts w:ascii="Garamond" w:hAnsi="Garamond"/>
          <w:sz w:val="24"/>
          <w:szCs w:val="24"/>
        </w:rPr>
        <w:t xml:space="preserve"> v Zbornični dvorani </w:t>
      </w:r>
      <w:r>
        <w:rPr>
          <w:rFonts w:ascii="Garamond" w:hAnsi="Garamond"/>
          <w:sz w:val="24"/>
          <w:szCs w:val="24"/>
        </w:rPr>
        <w:t>na rektoratu</w:t>
      </w:r>
      <w:r w:rsidRPr="00146D38">
        <w:rPr>
          <w:rFonts w:ascii="Garamond" w:hAnsi="Garamond"/>
          <w:sz w:val="24"/>
          <w:szCs w:val="24"/>
        </w:rPr>
        <w:t xml:space="preserve"> gostil vodstvo Lige evropskih raziskovalnih univerz (LERU) in </w:t>
      </w:r>
      <w:r w:rsidRPr="00146D38">
        <w:rPr>
          <w:rFonts w:ascii="Garamond" w:hAnsi="Garamond"/>
          <w:color w:val="000000"/>
          <w:sz w:val="24"/>
          <w:szCs w:val="24"/>
        </w:rPr>
        <w:t xml:space="preserve">15 rektorjev srednjeevropskih univerz na njihovem rednem srečanju LERU–CE7.  </w:t>
      </w: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  <w:r w:rsidRPr="00146D38">
        <w:rPr>
          <w:rFonts w:ascii="Garamond" w:hAnsi="Garamond"/>
          <w:sz w:val="24"/>
          <w:szCs w:val="24"/>
        </w:rPr>
        <w:t> </w:t>
      </w: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  <w:r w:rsidRPr="00146D38">
        <w:rPr>
          <w:rFonts w:ascii="Garamond" w:hAnsi="Garamond"/>
          <w:sz w:val="24"/>
          <w:szCs w:val="24"/>
        </w:rPr>
        <w:t xml:space="preserve">Tokratno srečanje združenja nekaterih najbolj priznanih raziskovalnih univerz v Evropi bo namenjeno razpravi o razvoju EU na področju raziskav, inovacij in izobraževanja, vključno s predstavitvijo Evropske strategije za univerze in dosežkov </w:t>
      </w:r>
      <w:bookmarkStart w:id="0" w:name="_GoBack"/>
      <w:bookmarkEnd w:id="0"/>
      <w:r w:rsidRPr="00146D38">
        <w:rPr>
          <w:rFonts w:ascii="Garamond" w:hAnsi="Garamond"/>
          <w:sz w:val="24"/>
          <w:szCs w:val="24"/>
        </w:rPr>
        <w:t xml:space="preserve">preteklega slovenskega predsedovanja Svetu EU na teh področjih. Udeleženci se bodo osredotočali na nove izzive in možnosti, tudi nadaljnjega sodelovanja in krepitve te mreže, ki se odpirajo s temi aktualnimi evropskimi trendi. Med govorci bodo poleg rektorja </w:t>
      </w:r>
      <w:r w:rsidR="0059673F">
        <w:rPr>
          <w:rFonts w:ascii="Garamond" w:hAnsi="Garamond"/>
          <w:sz w:val="24"/>
          <w:szCs w:val="24"/>
        </w:rPr>
        <w:t xml:space="preserve">Univerze v </w:t>
      </w:r>
      <w:r>
        <w:rPr>
          <w:rFonts w:ascii="Garamond" w:hAnsi="Garamond"/>
          <w:sz w:val="24"/>
          <w:szCs w:val="24"/>
        </w:rPr>
        <w:t>Ljubljani</w:t>
      </w:r>
      <w:r w:rsidRPr="00146D38">
        <w:rPr>
          <w:rFonts w:ascii="Garamond" w:hAnsi="Garamond"/>
          <w:sz w:val="24"/>
          <w:szCs w:val="24"/>
        </w:rPr>
        <w:t xml:space="preserve"> in vodstva LERU tudi vodja Stalnega predstavništva Republike Slovenije pri EU v Bruslju veleposlanik Iztok Jarc, predstavnica Generalnega direktorata </w:t>
      </w:r>
      <w:r>
        <w:rPr>
          <w:rFonts w:ascii="Garamond" w:hAnsi="Garamond"/>
          <w:sz w:val="24"/>
          <w:szCs w:val="24"/>
        </w:rPr>
        <w:t xml:space="preserve">za </w:t>
      </w:r>
      <w:r w:rsidRPr="00146D38">
        <w:rPr>
          <w:rFonts w:ascii="Garamond" w:hAnsi="Garamond"/>
          <w:sz w:val="24"/>
          <w:szCs w:val="24"/>
        </w:rPr>
        <w:t xml:space="preserve">raziskave in inovacije pri Evropski komisiji Lia </w:t>
      </w:r>
      <w:proofErr w:type="spellStart"/>
      <w:r w:rsidRPr="00146D38">
        <w:rPr>
          <w:rFonts w:ascii="Garamond" w:hAnsi="Garamond"/>
          <w:sz w:val="24"/>
          <w:szCs w:val="24"/>
        </w:rPr>
        <w:t>Karamali</w:t>
      </w:r>
      <w:proofErr w:type="spellEnd"/>
      <w:r w:rsidRPr="00146D38">
        <w:rPr>
          <w:rFonts w:ascii="Garamond" w:hAnsi="Garamond"/>
          <w:sz w:val="24"/>
          <w:szCs w:val="24"/>
        </w:rPr>
        <w:t>, predsednik uprave Domel Holdinga Matjaž Čemažar ter raziskovalka in prejemnica prestižnega projekta Evropskega raziskovalnega sveta z Biotehniške fakultete</w:t>
      </w:r>
      <w:r>
        <w:rPr>
          <w:rFonts w:ascii="Garamond" w:hAnsi="Garamond"/>
          <w:sz w:val="24"/>
          <w:szCs w:val="24"/>
        </w:rPr>
        <w:t xml:space="preserve"> Univerze v Ljubljani</w:t>
      </w:r>
      <w:r w:rsidRPr="00146D3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doc</w:t>
      </w:r>
      <w:r w:rsidRPr="00146D38">
        <w:rPr>
          <w:rFonts w:ascii="Garamond" w:hAnsi="Garamond"/>
          <w:sz w:val="24"/>
          <w:szCs w:val="24"/>
        </w:rPr>
        <w:t xml:space="preserve">. dr.  Anna Dragoš. </w:t>
      </w: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  <w:r w:rsidRPr="00146D38">
        <w:rPr>
          <w:rFonts w:ascii="Garamond" w:hAnsi="Garamond"/>
          <w:sz w:val="24"/>
          <w:szCs w:val="24"/>
        </w:rPr>
        <w:t> </w:t>
      </w:r>
    </w:p>
    <w:p w:rsidR="00146D38" w:rsidRPr="00146D38" w:rsidRDefault="00146D38" w:rsidP="00146D38">
      <w:pPr>
        <w:pStyle w:val="xmsonormal"/>
        <w:jc w:val="both"/>
        <w:rPr>
          <w:rFonts w:ascii="Garamond" w:hAnsi="Garamond"/>
          <w:sz w:val="24"/>
          <w:szCs w:val="24"/>
        </w:rPr>
      </w:pPr>
      <w:r w:rsidRPr="00146D38">
        <w:rPr>
          <w:rFonts w:ascii="Garamond" w:hAnsi="Garamond"/>
          <w:sz w:val="24"/>
          <w:szCs w:val="24"/>
        </w:rPr>
        <w:t xml:space="preserve">Liga evropskih raziskovalnih univerz (LERU), ustanovljena </w:t>
      </w:r>
      <w:r>
        <w:rPr>
          <w:rFonts w:ascii="Garamond" w:hAnsi="Garamond"/>
          <w:sz w:val="24"/>
          <w:szCs w:val="24"/>
        </w:rPr>
        <w:t xml:space="preserve">leta </w:t>
      </w:r>
      <w:r w:rsidRPr="00146D38">
        <w:rPr>
          <w:rFonts w:ascii="Garamond" w:hAnsi="Garamond"/>
          <w:sz w:val="24"/>
          <w:szCs w:val="24"/>
        </w:rPr>
        <w:t>2002, je uveljavljena mreža 23 vodilnih raziskovalno-intenzivnih univerz s sedežem v 12 evropskih državah. Njeno vodilo je, da imajo pionirske raziskave bistveno vlogo v procesu inovacij in pomembno prispevajo k napredku družbe. R</w:t>
      </w:r>
      <w:r>
        <w:rPr>
          <w:rFonts w:ascii="Garamond" w:hAnsi="Garamond"/>
          <w:sz w:val="24"/>
          <w:szCs w:val="24"/>
        </w:rPr>
        <w:t xml:space="preserve">aziskovalno intenzivne univerze, </w:t>
      </w:r>
      <w:r w:rsidRPr="00146D38">
        <w:rPr>
          <w:rFonts w:ascii="Garamond" w:hAnsi="Garamond"/>
          <w:sz w:val="24"/>
          <w:szCs w:val="24"/>
        </w:rPr>
        <w:t>članice LERU uspešno zagovarjajo interese raziskovalne skupnosti in utrjujejo njeno pomembno vlogo v Evropi.</w:t>
      </w:r>
    </w:p>
    <w:p w:rsidR="0089590D" w:rsidRPr="0089590D" w:rsidRDefault="0089590D" w:rsidP="0089590D">
      <w:pPr>
        <w:rPr>
          <w:rFonts w:ascii="Garamond" w:hAnsi="Garamond"/>
          <w:sz w:val="24"/>
        </w:rPr>
      </w:pPr>
    </w:p>
    <w:p w:rsidR="0089590D" w:rsidRDefault="0089590D" w:rsidP="0089590D">
      <w:pPr>
        <w:rPr>
          <w:rFonts w:ascii="Garamond" w:hAnsi="Garamond"/>
          <w:sz w:val="24"/>
        </w:rPr>
      </w:pPr>
    </w:p>
    <w:p w:rsidR="0089590D" w:rsidRPr="00DB73A1" w:rsidRDefault="0089590D" w:rsidP="0089590D">
      <w:pPr>
        <w:jc w:val="both"/>
        <w:rPr>
          <w:rFonts w:ascii="Garamond" w:hAnsi="Garamond"/>
          <w:sz w:val="24"/>
        </w:rPr>
      </w:pPr>
    </w:p>
    <w:sectPr w:rsidR="0089590D" w:rsidRPr="00DB73A1" w:rsidSect="0025544A">
      <w:footerReference w:type="default" r:id="rId8"/>
      <w:headerReference w:type="first" r:id="rId9"/>
      <w:footerReference w:type="first" r:id="rId10"/>
      <w:pgSz w:w="11906" w:h="16838"/>
      <w:pgMar w:top="1062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5F" w:rsidRDefault="001B1B5F" w:rsidP="00240E83">
      <w:r>
        <w:separator/>
      </w:r>
    </w:p>
  </w:endnote>
  <w:endnote w:type="continuationSeparator" w:id="0">
    <w:p w:rsidR="001B1B5F" w:rsidRDefault="001B1B5F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E834EF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E834EF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AC" w:rsidRPr="009514AC" w:rsidRDefault="009514AC" w:rsidP="0025544A">
    <w:pPr>
      <w:pStyle w:val="Noga"/>
      <w:rPr>
        <w:rFonts w:ascii="Garamond" w:hAnsi="Garamond"/>
        <w:sz w:val="20"/>
        <w:szCs w:val="20"/>
      </w:rPr>
    </w:pPr>
  </w:p>
  <w:p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5F" w:rsidRDefault="001B1B5F" w:rsidP="00240E83">
      <w:r>
        <w:separator/>
      </w:r>
    </w:p>
  </w:footnote>
  <w:footnote w:type="continuationSeparator" w:id="0">
    <w:p w:rsidR="001B1B5F" w:rsidRDefault="001B1B5F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:rsidTr="00190CB7">
      <w:trPr>
        <w:trHeight w:val="3191"/>
      </w:trPr>
      <w:tc>
        <w:tcPr>
          <w:tcW w:w="3227" w:type="dxa"/>
          <w:shd w:val="clear" w:color="auto" w:fill="auto"/>
        </w:tcPr>
        <w:p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/>
              <w:i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6C61"/>
    <w:rsid w:val="000137E3"/>
    <w:rsid w:val="00050C80"/>
    <w:rsid w:val="000602AC"/>
    <w:rsid w:val="000A58BB"/>
    <w:rsid w:val="000D3498"/>
    <w:rsid w:val="000F75F9"/>
    <w:rsid w:val="0011625F"/>
    <w:rsid w:val="0012403F"/>
    <w:rsid w:val="00146D38"/>
    <w:rsid w:val="001573EE"/>
    <w:rsid w:val="0016759F"/>
    <w:rsid w:val="00176C56"/>
    <w:rsid w:val="001B1B5F"/>
    <w:rsid w:val="001B22B2"/>
    <w:rsid w:val="001B5A2C"/>
    <w:rsid w:val="001D3B51"/>
    <w:rsid w:val="001D588F"/>
    <w:rsid w:val="001F1E2A"/>
    <w:rsid w:val="00205EC2"/>
    <w:rsid w:val="00240E83"/>
    <w:rsid w:val="0024606F"/>
    <w:rsid w:val="00253866"/>
    <w:rsid w:val="0025544A"/>
    <w:rsid w:val="00266579"/>
    <w:rsid w:val="002E42F3"/>
    <w:rsid w:val="00340393"/>
    <w:rsid w:val="00365D19"/>
    <w:rsid w:val="00385813"/>
    <w:rsid w:val="00385F96"/>
    <w:rsid w:val="0042651B"/>
    <w:rsid w:val="004374B7"/>
    <w:rsid w:val="00453479"/>
    <w:rsid w:val="00491B68"/>
    <w:rsid w:val="004A0439"/>
    <w:rsid w:val="004B0177"/>
    <w:rsid w:val="004B7E92"/>
    <w:rsid w:val="004D2E6B"/>
    <w:rsid w:val="00554247"/>
    <w:rsid w:val="0059673F"/>
    <w:rsid w:val="005E500A"/>
    <w:rsid w:val="00623E67"/>
    <w:rsid w:val="00637F8E"/>
    <w:rsid w:val="0066566F"/>
    <w:rsid w:val="00673B76"/>
    <w:rsid w:val="00674CD5"/>
    <w:rsid w:val="006C06FD"/>
    <w:rsid w:val="006D5030"/>
    <w:rsid w:val="006E0DE7"/>
    <w:rsid w:val="006F47B4"/>
    <w:rsid w:val="00764C30"/>
    <w:rsid w:val="00764EB3"/>
    <w:rsid w:val="00765755"/>
    <w:rsid w:val="00766341"/>
    <w:rsid w:val="007E210B"/>
    <w:rsid w:val="007E7E7A"/>
    <w:rsid w:val="007F3D1D"/>
    <w:rsid w:val="00801A6B"/>
    <w:rsid w:val="00824EEE"/>
    <w:rsid w:val="00874448"/>
    <w:rsid w:val="0089590D"/>
    <w:rsid w:val="008B3C50"/>
    <w:rsid w:val="009074ED"/>
    <w:rsid w:val="00934196"/>
    <w:rsid w:val="009514AC"/>
    <w:rsid w:val="009B6EE3"/>
    <w:rsid w:val="00A03BFD"/>
    <w:rsid w:val="00A20E4F"/>
    <w:rsid w:val="00A55613"/>
    <w:rsid w:val="00AB136B"/>
    <w:rsid w:val="00AB66E1"/>
    <w:rsid w:val="00AD07C5"/>
    <w:rsid w:val="00AE20BB"/>
    <w:rsid w:val="00AE6CCE"/>
    <w:rsid w:val="00AE6ED9"/>
    <w:rsid w:val="00B0319C"/>
    <w:rsid w:val="00B418C6"/>
    <w:rsid w:val="00B549F7"/>
    <w:rsid w:val="00B67E42"/>
    <w:rsid w:val="00B73886"/>
    <w:rsid w:val="00BA67B7"/>
    <w:rsid w:val="00BC5DE7"/>
    <w:rsid w:val="00BD5543"/>
    <w:rsid w:val="00BE3A1A"/>
    <w:rsid w:val="00C500E3"/>
    <w:rsid w:val="00CB047E"/>
    <w:rsid w:val="00CD7A81"/>
    <w:rsid w:val="00CF0BA7"/>
    <w:rsid w:val="00D21E76"/>
    <w:rsid w:val="00D335D2"/>
    <w:rsid w:val="00D54A74"/>
    <w:rsid w:val="00DB73A1"/>
    <w:rsid w:val="00DF0138"/>
    <w:rsid w:val="00E03B2F"/>
    <w:rsid w:val="00E2694C"/>
    <w:rsid w:val="00E37C6F"/>
    <w:rsid w:val="00E72CD7"/>
    <w:rsid w:val="00E73496"/>
    <w:rsid w:val="00E773AB"/>
    <w:rsid w:val="00E834EF"/>
    <w:rsid w:val="00EB0C68"/>
    <w:rsid w:val="00F0635C"/>
    <w:rsid w:val="00F06396"/>
    <w:rsid w:val="00F37B03"/>
    <w:rsid w:val="00F70D87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01AA9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customStyle="1" w:styleId="xmsonormal">
    <w:name w:val="x_msonormal"/>
    <w:basedOn w:val="Navaden"/>
    <w:rsid w:val="00146D38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8CEEBF-5866-46A6-B06C-80805D3E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2</cp:revision>
  <cp:lastPrinted>2017-06-01T06:29:00Z</cp:lastPrinted>
  <dcterms:created xsi:type="dcterms:W3CDTF">2022-03-11T08:38:00Z</dcterms:created>
  <dcterms:modified xsi:type="dcterms:W3CDTF">2022-03-11T08:46:00Z</dcterms:modified>
</cp:coreProperties>
</file>